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2EE4A" w14:textId="77777777" w:rsidR="00823E90" w:rsidRDefault="00E0585F" w:rsidP="002D2E89">
      <w:pPr>
        <w:pStyle w:val="Rubrik"/>
      </w:pPr>
      <w:bookmarkStart w:id="0" w:name="_GoBack"/>
      <w:bookmarkEnd w:id="0"/>
      <w:r>
        <w:t>Hälsoekonomi av DCD-donationer</w:t>
      </w:r>
    </w:p>
    <w:sdt>
      <w:sdtPr>
        <w:rPr>
          <w:rFonts w:asciiTheme="minorHAnsi" w:eastAsiaTheme="minorEastAsia" w:hAnsiTheme="minorHAnsi" w:cstheme="minorBidi"/>
          <w:color w:val="FF0000"/>
          <w:sz w:val="22"/>
          <w:szCs w:val="22"/>
          <w:lang w:val="sv-SE" w:eastAsia="zh-CN"/>
        </w:rPr>
        <w:id w:val="-1210722990"/>
        <w:docPartObj>
          <w:docPartGallery w:val="Table of Contents"/>
          <w:docPartUnique/>
        </w:docPartObj>
      </w:sdtPr>
      <w:sdtEndPr>
        <w:rPr>
          <w:b/>
          <w:bCs/>
          <w:noProof/>
          <w:color w:val="auto"/>
        </w:rPr>
      </w:sdtEndPr>
      <w:sdtContent>
        <w:p w14:paraId="6F2C7D7D" w14:textId="77777777" w:rsidR="00D75898" w:rsidRPr="0059700E" w:rsidRDefault="00D75898">
          <w:pPr>
            <w:pStyle w:val="Innehllsfrteckningsrubrik"/>
            <w:rPr>
              <w:color w:val="FF0000"/>
            </w:rPr>
          </w:pPr>
          <w:r w:rsidRPr="0059700E">
            <w:rPr>
              <w:color w:val="FF0000"/>
            </w:rPr>
            <w:t>Innehåll</w:t>
          </w:r>
        </w:p>
        <w:p w14:paraId="18D7158E" w14:textId="77777777" w:rsidR="00533B0F" w:rsidRDefault="00D75898">
          <w:pPr>
            <w:pStyle w:val="Innehll2"/>
            <w:tabs>
              <w:tab w:val="right" w:leader="dot" w:pos="9062"/>
            </w:tabs>
            <w:rPr>
              <w:noProof/>
            </w:rPr>
          </w:pPr>
          <w:r>
            <w:fldChar w:fldCharType="begin"/>
          </w:r>
          <w:r>
            <w:instrText xml:space="preserve"> TOC \o "1-3" \h \z \u </w:instrText>
          </w:r>
          <w:r>
            <w:fldChar w:fldCharType="separate"/>
          </w:r>
          <w:hyperlink w:anchor="_Toc474824359" w:history="1">
            <w:r w:rsidR="00533B0F" w:rsidRPr="00777FBA">
              <w:rPr>
                <w:rStyle w:val="Hyperlnk"/>
                <w:noProof/>
              </w:rPr>
              <w:t>Inledning</w:t>
            </w:r>
            <w:r w:rsidR="00533B0F">
              <w:rPr>
                <w:noProof/>
                <w:webHidden/>
              </w:rPr>
              <w:tab/>
            </w:r>
            <w:r w:rsidR="00533B0F">
              <w:rPr>
                <w:noProof/>
                <w:webHidden/>
              </w:rPr>
              <w:fldChar w:fldCharType="begin"/>
            </w:r>
            <w:r w:rsidR="00533B0F">
              <w:rPr>
                <w:noProof/>
                <w:webHidden/>
              </w:rPr>
              <w:instrText xml:space="preserve"> PAGEREF _Toc474824359 \h </w:instrText>
            </w:r>
            <w:r w:rsidR="00533B0F">
              <w:rPr>
                <w:noProof/>
                <w:webHidden/>
              </w:rPr>
            </w:r>
            <w:r w:rsidR="00533B0F">
              <w:rPr>
                <w:noProof/>
                <w:webHidden/>
              </w:rPr>
              <w:fldChar w:fldCharType="separate"/>
            </w:r>
            <w:r w:rsidR="00533B0F">
              <w:rPr>
                <w:noProof/>
                <w:webHidden/>
              </w:rPr>
              <w:t>2</w:t>
            </w:r>
            <w:r w:rsidR="00533B0F">
              <w:rPr>
                <w:noProof/>
                <w:webHidden/>
              </w:rPr>
              <w:fldChar w:fldCharType="end"/>
            </w:r>
          </w:hyperlink>
        </w:p>
        <w:p w14:paraId="0E62A6DB" w14:textId="77777777" w:rsidR="00533B0F" w:rsidRDefault="00616551">
          <w:pPr>
            <w:pStyle w:val="Innehll2"/>
            <w:tabs>
              <w:tab w:val="right" w:leader="dot" w:pos="9062"/>
            </w:tabs>
            <w:rPr>
              <w:noProof/>
            </w:rPr>
          </w:pPr>
          <w:hyperlink w:anchor="_Toc474824360" w:history="1">
            <w:r w:rsidR="00533B0F" w:rsidRPr="00777FBA">
              <w:rPr>
                <w:rStyle w:val="Hyperlnk"/>
                <w:noProof/>
              </w:rPr>
              <w:t>Metod</w:t>
            </w:r>
            <w:r w:rsidR="00533B0F">
              <w:rPr>
                <w:noProof/>
                <w:webHidden/>
              </w:rPr>
              <w:tab/>
            </w:r>
            <w:r w:rsidR="00533B0F">
              <w:rPr>
                <w:noProof/>
                <w:webHidden/>
              </w:rPr>
              <w:fldChar w:fldCharType="begin"/>
            </w:r>
            <w:r w:rsidR="00533B0F">
              <w:rPr>
                <w:noProof/>
                <w:webHidden/>
              </w:rPr>
              <w:instrText xml:space="preserve"> PAGEREF _Toc474824360 \h </w:instrText>
            </w:r>
            <w:r w:rsidR="00533B0F">
              <w:rPr>
                <w:noProof/>
                <w:webHidden/>
              </w:rPr>
            </w:r>
            <w:r w:rsidR="00533B0F">
              <w:rPr>
                <w:noProof/>
                <w:webHidden/>
              </w:rPr>
              <w:fldChar w:fldCharType="separate"/>
            </w:r>
            <w:r w:rsidR="00533B0F">
              <w:rPr>
                <w:noProof/>
                <w:webHidden/>
              </w:rPr>
              <w:t>2</w:t>
            </w:r>
            <w:r w:rsidR="00533B0F">
              <w:rPr>
                <w:noProof/>
                <w:webHidden/>
              </w:rPr>
              <w:fldChar w:fldCharType="end"/>
            </w:r>
          </w:hyperlink>
        </w:p>
        <w:p w14:paraId="79A7D0DC" w14:textId="77777777" w:rsidR="00533B0F" w:rsidRDefault="00616551">
          <w:pPr>
            <w:pStyle w:val="Innehll2"/>
            <w:tabs>
              <w:tab w:val="right" w:leader="dot" w:pos="9062"/>
            </w:tabs>
            <w:rPr>
              <w:noProof/>
            </w:rPr>
          </w:pPr>
          <w:hyperlink w:anchor="_Toc474824361" w:history="1">
            <w:r w:rsidR="00533B0F" w:rsidRPr="00777FBA">
              <w:rPr>
                <w:rStyle w:val="Hyperlnk"/>
                <w:noProof/>
              </w:rPr>
              <w:t>Antaganden och avgränsningar</w:t>
            </w:r>
            <w:r w:rsidR="00533B0F">
              <w:rPr>
                <w:noProof/>
                <w:webHidden/>
              </w:rPr>
              <w:tab/>
            </w:r>
            <w:r w:rsidR="00533B0F">
              <w:rPr>
                <w:noProof/>
                <w:webHidden/>
              </w:rPr>
              <w:fldChar w:fldCharType="begin"/>
            </w:r>
            <w:r w:rsidR="00533B0F">
              <w:rPr>
                <w:noProof/>
                <w:webHidden/>
              </w:rPr>
              <w:instrText xml:space="preserve"> PAGEREF _Toc474824361 \h </w:instrText>
            </w:r>
            <w:r w:rsidR="00533B0F">
              <w:rPr>
                <w:noProof/>
                <w:webHidden/>
              </w:rPr>
            </w:r>
            <w:r w:rsidR="00533B0F">
              <w:rPr>
                <w:noProof/>
                <w:webHidden/>
              </w:rPr>
              <w:fldChar w:fldCharType="separate"/>
            </w:r>
            <w:r w:rsidR="00533B0F">
              <w:rPr>
                <w:noProof/>
                <w:webHidden/>
              </w:rPr>
              <w:t>4</w:t>
            </w:r>
            <w:r w:rsidR="00533B0F">
              <w:rPr>
                <w:noProof/>
                <w:webHidden/>
              </w:rPr>
              <w:fldChar w:fldCharType="end"/>
            </w:r>
          </w:hyperlink>
        </w:p>
        <w:p w14:paraId="360475B1" w14:textId="77777777" w:rsidR="00533B0F" w:rsidRDefault="00616551">
          <w:pPr>
            <w:pStyle w:val="Innehll3"/>
            <w:tabs>
              <w:tab w:val="right" w:leader="dot" w:pos="9062"/>
            </w:tabs>
            <w:rPr>
              <w:noProof/>
            </w:rPr>
          </w:pPr>
          <w:hyperlink w:anchor="_Toc474824362" w:history="1">
            <w:r w:rsidR="00533B0F" w:rsidRPr="00777FBA">
              <w:rPr>
                <w:rStyle w:val="Hyperlnk"/>
                <w:noProof/>
              </w:rPr>
              <w:t>Kostnader</w:t>
            </w:r>
            <w:r w:rsidR="00533B0F">
              <w:rPr>
                <w:noProof/>
                <w:webHidden/>
              </w:rPr>
              <w:tab/>
            </w:r>
            <w:r w:rsidR="00533B0F">
              <w:rPr>
                <w:noProof/>
                <w:webHidden/>
              </w:rPr>
              <w:fldChar w:fldCharType="begin"/>
            </w:r>
            <w:r w:rsidR="00533B0F">
              <w:rPr>
                <w:noProof/>
                <w:webHidden/>
              </w:rPr>
              <w:instrText xml:space="preserve"> PAGEREF _Toc474824362 \h </w:instrText>
            </w:r>
            <w:r w:rsidR="00533B0F">
              <w:rPr>
                <w:noProof/>
                <w:webHidden/>
              </w:rPr>
            </w:r>
            <w:r w:rsidR="00533B0F">
              <w:rPr>
                <w:noProof/>
                <w:webHidden/>
              </w:rPr>
              <w:fldChar w:fldCharType="separate"/>
            </w:r>
            <w:r w:rsidR="00533B0F">
              <w:rPr>
                <w:noProof/>
                <w:webHidden/>
              </w:rPr>
              <w:t>5</w:t>
            </w:r>
            <w:r w:rsidR="00533B0F">
              <w:rPr>
                <w:noProof/>
                <w:webHidden/>
              </w:rPr>
              <w:fldChar w:fldCharType="end"/>
            </w:r>
          </w:hyperlink>
        </w:p>
        <w:p w14:paraId="6423E52F" w14:textId="77777777" w:rsidR="00533B0F" w:rsidRDefault="00616551">
          <w:pPr>
            <w:pStyle w:val="Innehll3"/>
            <w:tabs>
              <w:tab w:val="right" w:leader="dot" w:pos="9062"/>
            </w:tabs>
            <w:rPr>
              <w:noProof/>
            </w:rPr>
          </w:pPr>
          <w:hyperlink w:anchor="_Toc474824363" w:history="1">
            <w:r w:rsidR="00533B0F" w:rsidRPr="00777FBA">
              <w:rPr>
                <w:rStyle w:val="Hyperlnk"/>
                <w:noProof/>
              </w:rPr>
              <w:t>QALY</w:t>
            </w:r>
            <w:r w:rsidR="00533B0F">
              <w:rPr>
                <w:noProof/>
                <w:webHidden/>
              </w:rPr>
              <w:tab/>
            </w:r>
            <w:r w:rsidR="00533B0F">
              <w:rPr>
                <w:noProof/>
                <w:webHidden/>
              </w:rPr>
              <w:fldChar w:fldCharType="begin"/>
            </w:r>
            <w:r w:rsidR="00533B0F">
              <w:rPr>
                <w:noProof/>
                <w:webHidden/>
              </w:rPr>
              <w:instrText xml:space="preserve"> PAGEREF _Toc474824363 \h </w:instrText>
            </w:r>
            <w:r w:rsidR="00533B0F">
              <w:rPr>
                <w:noProof/>
                <w:webHidden/>
              </w:rPr>
            </w:r>
            <w:r w:rsidR="00533B0F">
              <w:rPr>
                <w:noProof/>
                <w:webHidden/>
              </w:rPr>
              <w:fldChar w:fldCharType="separate"/>
            </w:r>
            <w:r w:rsidR="00533B0F">
              <w:rPr>
                <w:noProof/>
                <w:webHidden/>
              </w:rPr>
              <w:t>7</w:t>
            </w:r>
            <w:r w:rsidR="00533B0F">
              <w:rPr>
                <w:noProof/>
                <w:webHidden/>
              </w:rPr>
              <w:fldChar w:fldCharType="end"/>
            </w:r>
          </w:hyperlink>
        </w:p>
        <w:p w14:paraId="501C2CC4" w14:textId="77777777" w:rsidR="00533B0F" w:rsidRDefault="00616551">
          <w:pPr>
            <w:pStyle w:val="Innehll3"/>
            <w:tabs>
              <w:tab w:val="right" w:leader="dot" w:pos="9062"/>
            </w:tabs>
            <w:rPr>
              <w:noProof/>
            </w:rPr>
          </w:pPr>
          <w:hyperlink w:anchor="_Toc474824364" w:history="1">
            <w:r w:rsidR="00533B0F" w:rsidRPr="00777FBA">
              <w:rPr>
                <w:rStyle w:val="Hyperlnk"/>
                <w:noProof/>
              </w:rPr>
              <w:t>Patientöverlevnad</w:t>
            </w:r>
            <w:r w:rsidR="00533B0F">
              <w:rPr>
                <w:noProof/>
                <w:webHidden/>
              </w:rPr>
              <w:tab/>
            </w:r>
            <w:r w:rsidR="00533B0F">
              <w:rPr>
                <w:noProof/>
                <w:webHidden/>
              </w:rPr>
              <w:fldChar w:fldCharType="begin"/>
            </w:r>
            <w:r w:rsidR="00533B0F">
              <w:rPr>
                <w:noProof/>
                <w:webHidden/>
              </w:rPr>
              <w:instrText xml:space="preserve"> PAGEREF _Toc474824364 \h </w:instrText>
            </w:r>
            <w:r w:rsidR="00533B0F">
              <w:rPr>
                <w:noProof/>
                <w:webHidden/>
              </w:rPr>
            </w:r>
            <w:r w:rsidR="00533B0F">
              <w:rPr>
                <w:noProof/>
                <w:webHidden/>
              </w:rPr>
              <w:fldChar w:fldCharType="separate"/>
            </w:r>
            <w:r w:rsidR="00533B0F">
              <w:rPr>
                <w:noProof/>
                <w:webHidden/>
              </w:rPr>
              <w:t>8</w:t>
            </w:r>
            <w:r w:rsidR="00533B0F">
              <w:rPr>
                <w:noProof/>
                <w:webHidden/>
              </w:rPr>
              <w:fldChar w:fldCharType="end"/>
            </w:r>
          </w:hyperlink>
        </w:p>
        <w:p w14:paraId="63EE3C3C" w14:textId="77777777" w:rsidR="00533B0F" w:rsidRDefault="00616551">
          <w:pPr>
            <w:pStyle w:val="Innehll3"/>
            <w:tabs>
              <w:tab w:val="right" w:leader="dot" w:pos="9062"/>
            </w:tabs>
            <w:rPr>
              <w:noProof/>
            </w:rPr>
          </w:pPr>
          <w:hyperlink w:anchor="_Toc474824365" w:history="1">
            <w:r w:rsidR="00533B0F" w:rsidRPr="00777FBA">
              <w:rPr>
                <w:rStyle w:val="Hyperlnk"/>
                <w:noProof/>
              </w:rPr>
              <w:t>Produktivitet</w:t>
            </w:r>
            <w:r w:rsidR="00533B0F">
              <w:rPr>
                <w:noProof/>
                <w:webHidden/>
              </w:rPr>
              <w:tab/>
            </w:r>
            <w:r w:rsidR="00533B0F">
              <w:rPr>
                <w:noProof/>
                <w:webHidden/>
              </w:rPr>
              <w:fldChar w:fldCharType="begin"/>
            </w:r>
            <w:r w:rsidR="00533B0F">
              <w:rPr>
                <w:noProof/>
                <w:webHidden/>
              </w:rPr>
              <w:instrText xml:space="preserve"> PAGEREF _Toc474824365 \h </w:instrText>
            </w:r>
            <w:r w:rsidR="00533B0F">
              <w:rPr>
                <w:noProof/>
                <w:webHidden/>
              </w:rPr>
            </w:r>
            <w:r w:rsidR="00533B0F">
              <w:rPr>
                <w:noProof/>
                <w:webHidden/>
              </w:rPr>
              <w:fldChar w:fldCharType="separate"/>
            </w:r>
            <w:r w:rsidR="00533B0F">
              <w:rPr>
                <w:noProof/>
                <w:webHidden/>
              </w:rPr>
              <w:t>9</w:t>
            </w:r>
            <w:r w:rsidR="00533B0F">
              <w:rPr>
                <w:noProof/>
                <w:webHidden/>
              </w:rPr>
              <w:fldChar w:fldCharType="end"/>
            </w:r>
          </w:hyperlink>
        </w:p>
        <w:p w14:paraId="4589AC41" w14:textId="77777777" w:rsidR="00533B0F" w:rsidRDefault="00616551">
          <w:pPr>
            <w:pStyle w:val="Innehll2"/>
            <w:tabs>
              <w:tab w:val="right" w:leader="dot" w:pos="9062"/>
            </w:tabs>
            <w:rPr>
              <w:noProof/>
            </w:rPr>
          </w:pPr>
          <w:hyperlink w:anchor="_Toc474824366" w:history="1">
            <w:r w:rsidR="00533B0F" w:rsidRPr="00777FBA">
              <w:rPr>
                <w:rStyle w:val="Hyperlnk"/>
                <w:noProof/>
              </w:rPr>
              <w:t>Resultat</w:t>
            </w:r>
            <w:r w:rsidR="00533B0F">
              <w:rPr>
                <w:noProof/>
                <w:webHidden/>
              </w:rPr>
              <w:tab/>
            </w:r>
            <w:r w:rsidR="00533B0F">
              <w:rPr>
                <w:noProof/>
                <w:webHidden/>
              </w:rPr>
              <w:fldChar w:fldCharType="begin"/>
            </w:r>
            <w:r w:rsidR="00533B0F">
              <w:rPr>
                <w:noProof/>
                <w:webHidden/>
              </w:rPr>
              <w:instrText xml:space="preserve"> PAGEREF _Toc474824366 \h </w:instrText>
            </w:r>
            <w:r w:rsidR="00533B0F">
              <w:rPr>
                <w:noProof/>
                <w:webHidden/>
              </w:rPr>
            </w:r>
            <w:r w:rsidR="00533B0F">
              <w:rPr>
                <w:noProof/>
                <w:webHidden/>
              </w:rPr>
              <w:fldChar w:fldCharType="separate"/>
            </w:r>
            <w:r w:rsidR="00533B0F">
              <w:rPr>
                <w:noProof/>
                <w:webHidden/>
              </w:rPr>
              <w:t>12</w:t>
            </w:r>
            <w:r w:rsidR="00533B0F">
              <w:rPr>
                <w:noProof/>
                <w:webHidden/>
              </w:rPr>
              <w:fldChar w:fldCharType="end"/>
            </w:r>
          </w:hyperlink>
        </w:p>
        <w:p w14:paraId="4DA20704" w14:textId="77777777" w:rsidR="00533B0F" w:rsidRDefault="00616551">
          <w:pPr>
            <w:pStyle w:val="Innehll2"/>
            <w:tabs>
              <w:tab w:val="right" w:leader="dot" w:pos="9062"/>
            </w:tabs>
            <w:rPr>
              <w:noProof/>
            </w:rPr>
          </w:pPr>
          <w:hyperlink w:anchor="_Toc474824367" w:history="1">
            <w:r w:rsidR="00533B0F" w:rsidRPr="00777FBA">
              <w:rPr>
                <w:rStyle w:val="Hyperlnk"/>
                <w:noProof/>
              </w:rPr>
              <w:t>Slutsatser</w:t>
            </w:r>
            <w:r w:rsidR="00533B0F">
              <w:rPr>
                <w:noProof/>
                <w:webHidden/>
              </w:rPr>
              <w:tab/>
            </w:r>
            <w:r w:rsidR="00533B0F">
              <w:rPr>
                <w:noProof/>
                <w:webHidden/>
              </w:rPr>
              <w:fldChar w:fldCharType="begin"/>
            </w:r>
            <w:r w:rsidR="00533B0F">
              <w:rPr>
                <w:noProof/>
                <w:webHidden/>
              </w:rPr>
              <w:instrText xml:space="preserve"> PAGEREF _Toc474824367 \h </w:instrText>
            </w:r>
            <w:r w:rsidR="00533B0F">
              <w:rPr>
                <w:noProof/>
                <w:webHidden/>
              </w:rPr>
            </w:r>
            <w:r w:rsidR="00533B0F">
              <w:rPr>
                <w:noProof/>
                <w:webHidden/>
              </w:rPr>
              <w:fldChar w:fldCharType="separate"/>
            </w:r>
            <w:r w:rsidR="00533B0F">
              <w:rPr>
                <w:noProof/>
                <w:webHidden/>
              </w:rPr>
              <w:t>15</w:t>
            </w:r>
            <w:r w:rsidR="00533B0F">
              <w:rPr>
                <w:noProof/>
                <w:webHidden/>
              </w:rPr>
              <w:fldChar w:fldCharType="end"/>
            </w:r>
          </w:hyperlink>
        </w:p>
        <w:p w14:paraId="5BF3F047" w14:textId="77777777" w:rsidR="00533B0F" w:rsidRDefault="00616551">
          <w:pPr>
            <w:pStyle w:val="Innehll2"/>
            <w:tabs>
              <w:tab w:val="right" w:leader="dot" w:pos="9062"/>
            </w:tabs>
            <w:rPr>
              <w:noProof/>
            </w:rPr>
          </w:pPr>
          <w:hyperlink w:anchor="_Toc474824368" w:history="1">
            <w:r w:rsidR="00533B0F" w:rsidRPr="00777FBA">
              <w:rPr>
                <w:rStyle w:val="Hyperlnk"/>
                <w:noProof/>
              </w:rPr>
              <w:t>Referenser</w:t>
            </w:r>
            <w:r w:rsidR="00533B0F">
              <w:rPr>
                <w:noProof/>
                <w:webHidden/>
              </w:rPr>
              <w:tab/>
            </w:r>
            <w:r w:rsidR="00533B0F">
              <w:rPr>
                <w:noProof/>
                <w:webHidden/>
              </w:rPr>
              <w:fldChar w:fldCharType="begin"/>
            </w:r>
            <w:r w:rsidR="00533B0F">
              <w:rPr>
                <w:noProof/>
                <w:webHidden/>
              </w:rPr>
              <w:instrText xml:space="preserve"> PAGEREF _Toc474824368 \h </w:instrText>
            </w:r>
            <w:r w:rsidR="00533B0F">
              <w:rPr>
                <w:noProof/>
                <w:webHidden/>
              </w:rPr>
            </w:r>
            <w:r w:rsidR="00533B0F">
              <w:rPr>
                <w:noProof/>
                <w:webHidden/>
              </w:rPr>
              <w:fldChar w:fldCharType="separate"/>
            </w:r>
            <w:r w:rsidR="00533B0F">
              <w:rPr>
                <w:noProof/>
                <w:webHidden/>
              </w:rPr>
              <w:t>17</w:t>
            </w:r>
            <w:r w:rsidR="00533B0F">
              <w:rPr>
                <w:noProof/>
                <w:webHidden/>
              </w:rPr>
              <w:fldChar w:fldCharType="end"/>
            </w:r>
          </w:hyperlink>
        </w:p>
        <w:p w14:paraId="3855CD1A" w14:textId="77777777" w:rsidR="00D75898" w:rsidRDefault="00D75898">
          <w:r>
            <w:rPr>
              <w:b/>
              <w:bCs/>
              <w:noProof/>
            </w:rPr>
            <w:fldChar w:fldCharType="end"/>
          </w:r>
        </w:p>
      </w:sdtContent>
    </w:sdt>
    <w:p w14:paraId="4EAA3B35" w14:textId="77777777" w:rsidR="00E0585F" w:rsidRDefault="00E0585F" w:rsidP="00E0585F"/>
    <w:p w14:paraId="73AE3525" w14:textId="77777777" w:rsidR="00A75620" w:rsidRDefault="00A75620" w:rsidP="00E0585F"/>
    <w:p w14:paraId="7D39C4EC" w14:textId="77777777" w:rsidR="00A75620" w:rsidRDefault="00A75620" w:rsidP="00E0585F"/>
    <w:p w14:paraId="2C4494EF" w14:textId="77777777" w:rsidR="00A75620" w:rsidRDefault="00A75620" w:rsidP="00E0585F"/>
    <w:p w14:paraId="5E1270C2" w14:textId="77777777" w:rsidR="00A75620" w:rsidRDefault="00A75620" w:rsidP="00E0585F"/>
    <w:p w14:paraId="047CBDD0" w14:textId="77777777" w:rsidR="00A75620" w:rsidRDefault="00A75620" w:rsidP="00E0585F"/>
    <w:p w14:paraId="408A874A" w14:textId="77777777" w:rsidR="00A75620" w:rsidRDefault="00A75620" w:rsidP="00E0585F"/>
    <w:p w14:paraId="1D74FA9A" w14:textId="77777777" w:rsidR="00A75620" w:rsidRDefault="00A75620" w:rsidP="00E0585F"/>
    <w:p w14:paraId="2BBE9BD2" w14:textId="77777777" w:rsidR="00A75620" w:rsidRDefault="00A75620" w:rsidP="00E0585F"/>
    <w:p w14:paraId="4A6C91C4" w14:textId="77777777" w:rsidR="00A75620" w:rsidRDefault="00A75620" w:rsidP="00E0585F"/>
    <w:p w14:paraId="4220FB2C" w14:textId="77777777" w:rsidR="00A75620" w:rsidRDefault="00A75620" w:rsidP="00E0585F"/>
    <w:p w14:paraId="0650A134" w14:textId="77777777" w:rsidR="00A75620" w:rsidRDefault="00A75620" w:rsidP="00E0585F"/>
    <w:p w14:paraId="5E44EFAD" w14:textId="77777777" w:rsidR="00A75620" w:rsidRDefault="00A75620" w:rsidP="00E0585F"/>
    <w:p w14:paraId="15ABAAFF" w14:textId="77777777" w:rsidR="00A75620" w:rsidRDefault="00A75620" w:rsidP="00E0585F"/>
    <w:p w14:paraId="75CBC8BB" w14:textId="77777777" w:rsidR="00A75620" w:rsidRDefault="00A75620" w:rsidP="00E0585F"/>
    <w:p w14:paraId="25E0B4CE" w14:textId="77777777" w:rsidR="00956E70" w:rsidRDefault="00956E70" w:rsidP="00E0585F"/>
    <w:p w14:paraId="38851AE1" w14:textId="77777777" w:rsidR="00040ADD" w:rsidRDefault="00040ADD" w:rsidP="00E0585F"/>
    <w:p w14:paraId="6564ED9F" w14:textId="77777777" w:rsidR="00E0585F" w:rsidRPr="0059700E" w:rsidRDefault="00E0585F" w:rsidP="00E0585F">
      <w:pPr>
        <w:pStyle w:val="Rubrik2"/>
        <w:rPr>
          <w:color w:val="FF0000"/>
        </w:rPr>
      </w:pPr>
      <w:bookmarkStart w:id="1" w:name="_Toc474824359"/>
      <w:r w:rsidRPr="0059700E">
        <w:rPr>
          <w:color w:val="FF0000"/>
        </w:rPr>
        <w:lastRenderedPageBreak/>
        <w:t>Inledning</w:t>
      </w:r>
      <w:bookmarkEnd w:id="1"/>
    </w:p>
    <w:p w14:paraId="6BFCDC54" w14:textId="77777777" w:rsidR="002D2E89" w:rsidRDefault="002D2E89" w:rsidP="008F4167">
      <w:r>
        <w:t xml:space="preserve">Sedan </w:t>
      </w:r>
      <w:r w:rsidR="00C05302">
        <w:t>början på 1960-talet</w:t>
      </w:r>
      <w:r>
        <w:t xml:space="preserve"> har patienter med kroniska njursjukdomar kunnat överleva genom uremivårdens utveckling </w:t>
      </w:r>
      <w:r w:rsidR="00FF5B17">
        <w:t>och allt bättre</w:t>
      </w:r>
      <w:r>
        <w:t xml:space="preserve"> behandlingsformer såsom dialys och transplantation. Diagnos har kunnat ställas allt tidigare vilket i sin tur har möjliggjort tidigt insatta behandlingar. Idag kan transplantationspatienter antingen få en donation från en levande person eller från en individ som avli</w:t>
      </w:r>
      <w:r w:rsidR="00C05302">
        <w:t xml:space="preserve">dit efter en primär hjärnskada, en så kallad </w:t>
      </w:r>
      <w:r>
        <w:t>DBD</w:t>
      </w:r>
      <w:r w:rsidR="00C05302">
        <w:t>-donation</w:t>
      </w:r>
      <w:r>
        <w:t xml:space="preserve"> </w:t>
      </w:r>
      <w:r w:rsidR="00C05302">
        <w:t>(</w:t>
      </w:r>
      <w:r>
        <w:t xml:space="preserve">Donation after Brain Death). Man har dock kunnat se en uppgående trend i antalet njursjuka </w:t>
      </w:r>
      <w:r w:rsidR="00C05302">
        <w:t>och</w:t>
      </w:r>
      <w:r>
        <w:t xml:space="preserve"> behov</w:t>
      </w:r>
      <w:r w:rsidR="00C05302">
        <w:t>et</w:t>
      </w:r>
      <w:r>
        <w:t xml:space="preserve"> </w:t>
      </w:r>
      <w:r w:rsidR="00C05302">
        <w:t xml:space="preserve">av donatorer har ständigt ökat vilket </w:t>
      </w:r>
      <w:r>
        <w:t>innebär att donationer från levande och avlidna personer inte kan ti</w:t>
      </w:r>
      <w:r w:rsidR="00C05302">
        <w:t xml:space="preserve">llgodose den ökande efterfrågan i det nuvarande donationssystemet. På grund av detta har regeringen lyft frågan om att utöka antalet donatorer genom att tillåta ytterligare en klass av donatorer. </w:t>
      </w:r>
      <w:r>
        <w:t>Många europeiska länder, såsom Storbritannien, Spanien och Frankrike, har valt att utöka donationsmöjligheterna med att även innefatta personer som avlidit efter cirkulationsstillestånd, så kallade DCD-donationer. Detta har inneburit minskade kostnader för dessa länders hälsomyndigheter, samt att livskvalitén för berörda patienter har förbättrats.</w:t>
      </w:r>
    </w:p>
    <w:p w14:paraId="5E9D6E1C" w14:textId="20355313" w:rsidR="002D2E89" w:rsidRDefault="002D2E89" w:rsidP="008F4167">
      <w:r>
        <w:t xml:space="preserve">I en utredning (SOU 2015:84, </w:t>
      </w:r>
      <w:r w:rsidRPr="002D2E89">
        <w:rPr>
          <w:i/>
        </w:rPr>
        <w:t>Utredning om donations- och transplantationsfrågor</w:t>
      </w:r>
      <w:r>
        <w:t xml:space="preserve">) har socialdepartement lyft frågan om att möjliggöra DCD-donationer i Sverige. I skriften diskuterades frågor om uremivårdens kostnader men även om de befintliga behandlingarnas innebörd för patienter. Frågor såsom patienternas överlevnad och möjligheter till att </w:t>
      </w:r>
      <w:r w:rsidR="00BB5F67">
        <w:t>återgå i arbete,</w:t>
      </w:r>
      <w:r>
        <w:t xml:space="preserve"> utgjorde en stor del av argumentationen för ett potentiellt införande av DCD-processer. </w:t>
      </w:r>
    </w:p>
    <w:p w14:paraId="58962214" w14:textId="47BA0DC0" w:rsidR="00F23D7D" w:rsidRDefault="002D2E89" w:rsidP="008F4167">
      <w:r>
        <w:t xml:space="preserve">Under 2016 valde </w:t>
      </w:r>
      <w:r w:rsidR="00F23D7D">
        <w:t xml:space="preserve">Vävnadsrådet, tillsammans med Sveriges Kommuner och Landsting, </w:t>
      </w:r>
      <w:r>
        <w:t xml:space="preserve">att låta </w:t>
      </w:r>
      <w:r w:rsidR="00F23D7D">
        <w:t xml:space="preserve">genomföra </w:t>
      </w:r>
      <w:r>
        <w:t xml:space="preserve">en hälsoekonomisk analys </w:t>
      </w:r>
      <w:r w:rsidR="00BB5F67">
        <w:t xml:space="preserve">avseende </w:t>
      </w:r>
      <w:r>
        <w:t>införandet av DCD-donationer för att kvantifiera potentiella vinster och/eller förluster associerade med utökningen av transplantationsbehandlingen.</w:t>
      </w:r>
      <w:r w:rsidR="00F23D7D">
        <w:t xml:space="preserve"> I denna utredningen skulle samtliga kostnader tas hänsyn till samtidigt som vinsterna i termer av livskvalitet och vunna levnadsår. Utöver detta skulle även samhällsekonomiska vinster </w:t>
      </w:r>
      <w:r w:rsidR="00BB5F67">
        <w:t>redovisas</w:t>
      </w:r>
      <w:r w:rsidR="00F23D7D">
        <w:t xml:space="preserve">. </w:t>
      </w:r>
    </w:p>
    <w:p w14:paraId="12A6476A" w14:textId="47AE59A3" w:rsidR="002D2E89" w:rsidRPr="008F6706" w:rsidRDefault="00F23D7D" w:rsidP="008F4167">
      <w:r>
        <w:t xml:space="preserve">För att göra detta anlitades Serge de Gosson de Varennes, analytiker på Kentor. </w:t>
      </w:r>
      <w:r w:rsidR="008F6706">
        <w:t xml:space="preserve">För detta ändamål har material från NHS (National Health Services) i Storbritannien, Svenska Njurregistret, </w:t>
      </w:r>
      <w:r w:rsidR="008F6706" w:rsidRPr="008F6706">
        <w:t>ERA-EDTA Registry</w:t>
      </w:r>
      <w:r w:rsidR="008F6706">
        <w:t>s Survival Report 2014, dataleverans från Prof. D. Summers</w:t>
      </w:r>
      <w:r w:rsidR="00A6590E">
        <w:t xml:space="preserve"> och Dr. Stefan Ström</w:t>
      </w:r>
      <w:r w:rsidR="008F6706">
        <w:t xml:space="preserve"> samt en omfattande litteraturstudie har studerats och använts i analysen. Författaren har även haft diskussioner med sakkunniga i såväl donations</w:t>
      </w:r>
      <w:r w:rsidR="00EF4135">
        <w:t>-</w:t>
      </w:r>
      <w:r w:rsidR="008F6706">
        <w:t xml:space="preserve"> som i transplantationsprocessen. </w:t>
      </w:r>
    </w:p>
    <w:p w14:paraId="100E6170" w14:textId="77777777" w:rsidR="002D2E89" w:rsidRDefault="002D2E89" w:rsidP="008F4167">
      <w:r>
        <w:t xml:space="preserve">  </w:t>
      </w:r>
    </w:p>
    <w:p w14:paraId="12BCB472" w14:textId="77777777" w:rsidR="008F4167" w:rsidRPr="0059700E" w:rsidRDefault="008F4167" w:rsidP="008F4167">
      <w:pPr>
        <w:pStyle w:val="Rubrik2"/>
        <w:rPr>
          <w:color w:val="FF0000"/>
        </w:rPr>
      </w:pPr>
      <w:bookmarkStart w:id="2" w:name="_Toc474824360"/>
      <w:r w:rsidRPr="0059700E">
        <w:rPr>
          <w:color w:val="FF0000"/>
        </w:rPr>
        <w:t>Metod</w:t>
      </w:r>
      <w:bookmarkEnd w:id="2"/>
    </w:p>
    <w:p w14:paraId="6C633A13" w14:textId="4244110F" w:rsidR="008F6706" w:rsidRDefault="00D22039" w:rsidP="008F4167">
      <w:r>
        <w:t xml:space="preserve">Syftet med en hälsoekonomisk analys är att avgöra </w:t>
      </w:r>
      <w:r w:rsidR="00EF4135">
        <w:t xml:space="preserve">om </w:t>
      </w:r>
      <w:r>
        <w:t xml:space="preserve">en behandlings kostnader kan vara befogade i förhållande de medicinska vinsterna, i form av förbättrad hälsa och livskvalitet. </w:t>
      </w:r>
      <w:r w:rsidR="00EF4135">
        <w:t>I s</w:t>
      </w:r>
      <w:r>
        <w:t>ådana analyser</w:t>
      </w:r>
      <w:r w:rsidR="002D2E89">
        <w:t xml:space="preserve"> </w:t>
      </w:r>
      <w:r w:rsidR="00A75620">
        <w:t>vi</w:t>
      </w:r>
      <w:r w:rsidR="008F6706">
        <w:t>ll</w:t>
      </w:r>
      <w:r w:rsidR="00A75620">
        <w:t xml:space="preserve"> man oftast jämföra olika behandlingsalternativ med varandra för att kunna uttala sig om kostnadseffektiviteten av en ny behandling. I sådana utredningar </w:t>
      </w:r>
      <w:r w:rsidR="002D2E89">
        <w:t>måste</w:t>
      </w:r>
      <w:r w:rsidR="00A75620">
        <w:t xml:space="preserve"> man, utöver kostnader, ta</w:t>
      </w:r>
      <w:r w:rsidR="002D2E89">
        <w:t xml:space="preserve"> hänsyn till ett antal faktorer som påverkar </w:t>
      </w:r>
      <w:r w:rsidR="00A75620">
        <w:t>patienten på olika sätt</w:t>
      </w:r>
      <w:r w:rsidR="002D2E89">
        <w:t xml:space="preserve">. </w:t>
      </w:r>
      <w:r w:rsidR="00A75620">
        <w:t>Ett begrepp som måste hanteras är så kallade QALY (</w:t>
      </w:r>
      <w:r w:rsidR="00A75620" w:rsidRPr="00A75620">
        <w:rPr>
          <w:i/>
        </w:rPr>
        <w:t>Quality Adjusted Life-Years</w:t>
      </w:r>
      <w:r w:rsidR="00A75620">
        <w:t>)</w:t>
      </w:r>
      <w:r w:rsidR="00EF4135">
        <w:rPr>
          <w:rStyle w:val="Fotnotsreferens"/>
        </w:rPr>
        <w:footnoteReference w:id="1"/>
      </w:r>
      <w:r w:rsidR="00A75620">
        <w:t xml:space="preserve">. </w:t>
      </w:r>
      <w:r w:rsidR="008F6706">
        <w:t xml:space="preserve">Målet med en sådan utredning är att kunna beräkna kostnaden för varje vunnen QALY. </w:t>
      </w:r>
    </w:p>
    <w:p w14:paraId="35B7E1BD" w14:textId="77777777" w:rsidR="008F6706" w:rsidRDefault="008F6706" w:rsidP="008F4167">
      <w:r>
        <w:lastRenderedPageBreak/>
        <w:t>Inom hälsoekonomi brukar man prata om en så kallad inkrementell kostnadseffektivitetskvot</w:t>
      </w:r>
      <w:r w:rsidR="00543199">
        <w:t>, ICER (</w:t>
      </w:r>
      <w:r w:rsidR="00543199" w:rsidRPr="00FB0BC1">
        <w:rPr>
          <w:i/>
        </w:rPr>
        <w:t>Incremental Cost-Effectivness Ratio</w:t>
      </w:r>
      <w:r w:rsidR="00543199">
        <w:t>)</w:t>
      </w:r>
      <w:r>
        <w:t xml:space="preserve"> som beräknas som </w:t>
      </w:r>
    </w:p>
    <w:p w14:paraId="6A5BECCB" w14:textId="77777777" w:rsidR="008F6706" w:rsidRPr="008F6706" w:rsidRDefault="00543199" w:rsidP="008F6706">
      <w:pPr>
        <w:pStyle w:val="Normalwebb"/>
        <w:spacing w:before="0" w:beforeAutospacing="0" w:after="0" w:afterAutospacing="0"/>
        <w:rPr>
          <w:iCs/>
          <w:color w:val="000000" w:themeColor="text1"/>
          <w:kern w:val="24"/>
          <w:sz w:val="22"/>
          <w:szCs w:val="22"/>
        </w:rPr>
      </w:pPr>
      <m:oMathPara>
        <m:oMathParaPr>
          <m:jc m:val="centerGroup"/>
        </m:oMathParaPr>
        <m:oMath>
          <m:r>
            <m:rPr>
              <m:sty m:val="p"/>
            </m:rPr>
            <w:rPr>
              <w:rFonts w:ascii="Cambria Math" w:hAnsi="Cambria Math" w:cstheme="minorBidi"/>
              <w:color w:val="000000" w:themeColor="text1"/>
              <w:kern w:val="24"/>
              <w:sz w:val="22"/>
              <w:szCs w:val="22"/>
            </w:rPr>
            <m:t>ICE</m:t>
          </m:r>
          <m:sSub>
            <m:sSubPr>
              <m:ctrlPr>
                <w:rPr>
                  <w:rFonts w:ascii="Cambria Math" w:hAnsi="Cambria Math" w:cstheme="minorBidi"/>
                  <w:iCs/>
                  <w:color w:val="000000" w:themeColor="text1"/>
                  <w:kern w:val="24"/>
                  <w:sz w:val="22"/>
                  <w:szCs w:val="22"/>
                </w:rPr>
              </m:ctrlPr>
            </m:sSubPr>
            <m:e>
              <m:r>
                <m:rPr>
                  <m:sty m:val="p"/>
                </m:rPr>
                <w:rPr>
                  <w:rFonts w:ascii="Cambria Math" w:hAnsi="Cambria Math" w:cstheme="minorBidi"/>
                  <w:color w:val="000000" w:themeColor="text1"/>
                  <w:kern w:val="24"/>
                  <w:sz w:val="22"/>
                  <w:szCs w:val="22"/>
                </w:rPr>
                <m:t>R</m:t>
              </m:r>
            </m:e>
            <m:sub>
              <m:d>
                <m:dPr>
                  <m:begChr m:val="{"/>
                  <m:endChr m:val="}"/>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År</m:t>
                  </m:r>
                </m:e>
              </m:d>
            </m:sub>
          </m:sSub>
          <m:r>
            <m:rPr>
              <m:sty m:val="p"/>
            </m:rPr>
            <w:rPr>
              <w:rFonts w:ascii="Cambria Math" w:hAnsi="Cambria Math" w:cstheme="minorBidi"/>
              <w:color w:val="000000" w:themeColor="text1"/>
              <w:kern w:val="24"/>
              <w:sz w:val="22"/>
              <w:szCs w:val="22"/>
            </w:rPr>
            <m:t>= </m:t>
          </m:r>
          <m:f>
            <m:fPr>
              <m:ctrlPr>
                <w:rPr>
                  <w:rFonts w:ascii="Cambria Math" w:hAnsi="Cambria Math" w:cstheme="minorBidi"/>
                  <w:iCs/>
                  <w:color w:val="000000" w:themeColor="text1"/>
                  <w:kern w:val="24"/>
                  <w:sz w:val="22"/>
                  <w:szCs w:val="22"/>
                </w:rPr>
              </m:ctrlPr>
            </m:fPr>
            <m:num>
              <m:d>
                <m:dPr>
                  <m:begChr m:val="{"/>
                  <m:endChr m:val="}"/>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Kostnader</m:t>
                  </m:r>
                  <m:d>
                    <m:dPr>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Behandling 2</m:t>
                      </m:r>
                    </m:e>
                  </m:d>
                  <m:r>
                    <m:rPr>
                      <m:sty m:val="p"/>
                    </m:rPr>
                    <w:rPr>
                      <w:rFonts w:ascii="Cambria Math" w:hAnsi="Cambria Math" w:cstheme="minorBidi"/>
                      <w:color w:val="000000" w:themeColor="text1"/>
                      <w:kern w:val="24"/>
                      <w:sz w:val="22"/>
                      <w:szCs w:val="22"/>
                    </w:rPr>
                    <m:t>-Kostnader(Behandling 1)</m:t>
                  </m:r>
                </m:e>
              </m:d>
            </m:num>
            <m:den>
              <m:d>
                <m:dPr>
                  <m:begChr m:val="{"/>
                  <m:endChr m:val="}"/>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QALY</m:t>
                  </m:r>
                  <m:d>
                    <m:dPr>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Behandling 2</m:t>
                      </m:r>
                    </m:e>
                  </m:d>
                  <m:r>
                    <m:rPr>
                      <m:sty m:val="p"/>
                    </m:rPr>
                    <w:rPr>
                      <w:rFonts w:ascii="Cambria Math" w:hAnsi="Cambria Math" w:cstheme="minorBidi"/>
                      <w:color w:val="000000" w:themeColor="text1"/>
                      <w:kern w:val="24"/>
                      <w:sz w:val="22"/>
                      <w:szCs w:val="22"/>
                    </w:rPr>
                    <m:t>-QALY</m:t>
                  </m:r>
                  <m:d>
                    <m:dPr>
                      <m:ctrlPr>
                        <w:rPr>
                          <w:rFonts w:ascii="Cambria Math" w:hAnsi="Cambria Math" w:cstheme="minorBidi"/>
                          <w:iCs/>
                          <w:color w:val="000000" w:themeColor="text1"/>
                          <w:kern w:val="24"/>
                          <w:sz w:val="22"/>
                          <w:szCs w:val="22"/>
                        </w:rPr>
                      </m:ctrlPr>
                    </m:dPr>
                    <m:e>
                      <m:r>
                        <m:rPr>
                          <m:sty m:val="p"/>
                        </m:rPr>
                        <w:rPr>
                          <w:rFonts w:ascii="Cambria Math" w:hAnsi="Cambria Math" w:cstheme="minorBidi"/>
                          <w:color w:val="000000" w:themeColor="text1"/>
                          <w:kern w:val="24"/>
                          <w:sz w:val="22"/>
                          <w:szCs w:val="22"/>
                        </w:rPr>
                        <m:t>Behandling 1</m:t>
                      </m:r>
                    </m:e>
                  </m:d>
                </m:e>
              </m:d>
            </m:den>
          </m:f>
          <m:r>
            <w:rPr>
              <w:rFonts w:ascii="Cambria Math" w:hAnsi="Cambria Math" w:cstheme="minorBidi"/>
              <w:color w:val="000000" w:themeColor="text1"/>
              <w:kern w:val="24"/>
              <w:sz w:val="22"/>
              <w:szCs w:val="22"/>
            </w:rPr>
            <m:t>.</m:t>
          </m:r>
        </m:oMath>
      </m:oMathPara>
    </w:p>
    <w:p w14:paraId="63981F7B" w14:textId="77777777" w:rsidR="008F6706" w:rsidRDefault="008F6706" w:rsidP="008F6706">
      <w:pPr>
        <w:pStyle w:val="Normalwebb"/>
        <w:spacing w:before="0" w:beforeAutospacing="0" w:after="0" w:afterAutospacing="0"/>
        <w:rPr>
          <w:iCs/>
          <w:color w:val="000000" w:themeColor="text1"/>
          <w:kern w:val="24"/>
          <w:sz w:val="22"/>
          <w:szCs w:val="22"/>
        </w:rPr>
      </w:pPr>
    </w:p>
    <w:p w14:paraId="5DFC9590" w14:textId="695E4191" w:rsidR="008F6706" w:rsidRPr="00045196" w:rsidRDefault="008F6706" w:rsidP="008F6706">
      <w:pPr>
        <w:pStyle w:val="Normalwebb"/>
        <w:spacing w:before="0" w:beforeAutospacing="0" w:after="0" w:afterAutospacing="0"/>
        <w:rPr>
          <w:rFonts w:asciiTheme="minorHAnsi" w:hAnsiTheme="minorHAnsi" w:cstheme="minorHAnsi"/>
          <w:iCs/>
          <w:color w:val="000000" w:themeColor="text1"/>
          <w:kern w:val="24"/>
          <w:sz w:val="22"/>
          <w:szCs w:val="22"/>
        </w:rPr>
      </w:pPr>
      <w:r w:rsidRPr="00045196">
        <w:rPr>
          <w:rFonts w:asciiTheme="minorHAnsi" w:hAnsiTheme="minorHAnsi" w:cstheme="minorHAnsi"/>
          <w:iCs/>
          <w:color w:val="000000" w:themeColor="text1"/>
          <w:kern w:val="24"/>
          <w:sz w:val="22"/>
          <w:szCs w:val="22"/>
        </w:rPr>
        <w:t xml:space="preserve">Givet resultatet av denna beräkning kan vi avgöra </w:t>
      </w:r>
      <w:r w:rsidR="00EF4135">
        <w:rPr>
          <w:rFonts w:asciiTheme="minorHAnsi" w:hAnsiTheme="minorHAnsi" w:cstheme="minorHAnsi"/>
          <w:iCs/>
          <w:color w:val="000000" w:themeColor="text1"/>
          <w:kern w:val="24"/>
          <w:sz w:val="22"/>
          <w:szCs w:val="22"/>
        </w:rPr>
        <w:t>om</w:t>
      </w:r>
      <w:r w:rsidR="00EF4135" w:rsidRPr="00045196">
        <w:rPr>
          <w:rFonts w:asciiTheme="minorHAnsi" w:hAnsiTheme="minorHAnsi" w:cstheme="minorHAnsi"/>
          <w:iCs/>
          <w:color w:val="000000" w:themeColor="text1"/>
          <w:kern w:val="24"/>
          <w:sz w:val="22"/>
          <w:szCs w:val="22"/>
        </w:rPr>
        <w:t xml:space="preserve"> </w:t>
      </w:r>
      <w:r w:rsidRPr="00045196">
        <w:rPr>
          <w:rFonts w:asciiTheme="minorHAnsi" w:hAnsiTheme="minorHAnsi" w:cstheme="minorHAnsi"/>
          <w:iCs/>
          <w:color w:val="000000" w:themeColor="text1"/>
          <w:kern w:val="24"/>
          <w:sz w:val="22"/>
          <w:szCs w:val="22"/>
        </w:rPr>
        <w:t xml:space="preserve">den nya behandlingen är kostnadseffektiv och kan antas eller om kostnaden per vunnen QALY är så hög att den nya behandlingen bör förkastas. </w:t>
      </w:r>
    </w:p>
    <w:p w14:paraId="3E029406" w14:textId="77777777" w:rsidR="008F6706" w:rsidRDefault="008F6706" w:rsidP="008F6706">
      <w:pPr>
        <w:pStyle w:val="Normalwebb"/>
        <w:spacing w:before="0" w:beforeAutospacing="0" w:after="0" w:afterAutospacing="0"/>
        <w:rPr>
          <w:iCs/>
          <w:color w:val="000000" w:themeColor="text1"/>
          <w:kern w:val="24"/>
          <w:sz w:val="22"/>
          <w:szCs w:val="22"/>
        </w:rPr>
      </w:pPr>
      <w:r w:rsidRPr="00045196">
        <w:rPr>
          <w:rFonts w:asciiTheme="minorHAnsi" w:hAnsiTheme="minorHAnsi" w:cstheme="minorHAnsi"/>
          <w:iCs/>
          <w:color w:val="000000" w:themeColor="text1"/>
          <w:kern w:val="24"/>
          <w:sz w:val="22"/>
          <w:szCs w:val="22"/>
        </w:rPr>
        <w:t>Trösklar för vad som är acceptabelt är beräknade och visas i tabellen nedan.</w:t>
      </w:r>
    </w:p>
    <w:p w14:paraId="03F57470" w14:textId="77777777" w:rsidR="008F6706" w:rsidRDefault="008F6706" w:rsidP="008F6706">
      <w:pPr>
        <w:pStyle w:val="Normalwebb"/>
        <w:spacing w:before="0" w:beforeAutospacing="0" w:after="0" w:afterAutospacing="0"/>
        <w:rPr>
          <w:iCs/>
          <w:color w:val="000000" w:themeColor="text1"/>
          <w:kern w:val="24"/>
          <w:sz w:val="22"/>
          <w:szCs w:val="22"/>
        </w:rPr>
      </w:pPr>
    </w:p>
    <w:tbl>
      <w:tblPr>
        <w:tblW w:w="5529" w:type="dxa"/>
        <w:jc w:val="center"/>
        <w:tblCellMar>
          <w:left w:w="70" w:type="dxa"/>
          <w:right w:w="70" w:type="dxa"/>
        </w:tblCellMar>
        <w:tblLook w:val="04A0" w:firstRow="1" w:lastRow="0" w:firstColumn="1" w:lastColumn="0" w:noHBand="0" w:noVBand="1"/>
      </w:tblPr>
      <w:tblGrid>
        <w:gridCol w:w="2060"/>
        <w:gridCol w:w="634"/>
        <w:gridCol w:w="2835"/>
      </w:tblGrid>
      <w:tr w:rsidR="008F6706" w:rsidRPr="008F6706" w14:paraId="173A8D9A" w14:textId="77777777" w:rsidTr="008F6706">
        <w:trPr>
          <w:trHeight w:val="293"/>
          <w:jc w:val="center"/>
        </w:trPr>
        <w:tc>
          <w:tcPr>
            <w:tcW w:w="2694" w:type="dxa"/>
            <w:gridSpan w:val="2"/>
            <w:tcBorders>
              <w:top w:val="single" w:sz="4" w:space="0" w:color="auto"/>
              <w:left w:val="nil"/>
              <w:bottom w:val="single" w:sz="8" w:space="0" w:color="auto"/>
              <w:right w:val="nil"/>
            </w:tcBorders>
            <w:shd w:val="clear" w:color="000000" w:fill="FFFFFF"/>
            <w:noWrap/>
            <w:vAlign w:val="bottom"/>
            <w:hideMark/>
          </w:tcPr>
          <w:p w14:paraId="7A80A063" w14:textId="77777777" w:rsidR="008F6706" w:rsidRPr="00A86EFC" w:rsidRDefault="008F6706" w:rsidP="008F6706">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Kostnad per QLAY</w:t>
            </w:r>
          </w:p>
        </w:tc>
        <w:tc>
          <w:tcPr>
            <w:tcW w:w="2835" w:type="dxa"/>
            <w:tcBorders>
              <w:top w:val="single" w:sz="4" w:space="0" w:color="auto"/>
              <w:left w:val="nil"/>
              <w:bottom w:val="single" w:sz="8" w:space="0" w:color="auto"/>
              <w:right w:val="nil"/>
            </w:tcBorders>
            <w:shd w:val="clear" w:color="000000" w:fill="FFFFFF"/>
            <w:noWrap/>
            <w:vAlign w:val="bottom"/>
            <w:hideMark/>
          </w:tcPr>
          <w:p w14:paraId="3395DC8B" w14:textId="77777777" w:rsidR="008F6706" w:rsidRPr="00A86EFC" w:rsidRDefault="008F6706" w:rsidP="008F6706">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Kostnad i relation till effekt</w:t>
            </w:r>
          </w:p>
        </w:tc>
      </w:tr>
      <w:tr w:rsidR="008F6706" w:rsidRPr="008F6706" w14:paraId="1F1A2CD0" w14:textId="77777777" w:rsidTr="008F6706">
        <w:trPr>
          <w:trHeight w:val="285"/>
          <w:jc w:val="center"/>
        </w:trPr>
        <w:tc>
          <w:tcPr>
            <w:tcW w:w="2060" w:type="dxa"/>
            <w:tcBorders>
              <w:top w:val="nil"/>
              <w:left w:val="nil"/>
              <w:bottom w:val="nil"/>
              <w:right w:val="nil"/>
            </w:tcBorders>
            <w:shd w:val="clear" w:color="000000" w:fill="FFFFFF"/>
            <w:noWrap/>
            <w:vAlign w:val="bottom"/>
            <w:hideMark/>
          </w:tcPr>
          <w:p w14:paraId="3C56FCE6" w14:textId="77777777" w:rsidR="008F6706" w:rsidRPr="00A86EFC" w:rsidRDefault="008F6706" w:rsidP="008F6706">
            <w:pPr>
              <w:spacing w:after="0" w:line="240" w:lineRule="auto"/>
              <w:jc w:val="right"/>
              <w:rPr>
                <w:rFonts w:ascii="Calibri" w:eastAsia="Times New Roman" w:hAnsi="Calibri" w:cs="Calibri"/>
                <w:color w:val="000000"/>
                <w:sz w:val="18"/>
                <w:szCs w:val="18"/>
              </w:rPr>
            </w:pPr>
            <w:r w:rsidRPr="00A86EFC">
              <w:rPr>
                <w:rFonts w:ascii="Calibri" w:eastAsia="Times New Roman" w:hAnsi="Calibri" w:cs="Calibri"/>
                <w:color w:val="000000"/>
                <w:sz w:val="18"/>
                <w:szCs w:val="18"/>
              </w:rPr>
              <w:t>&lt;100 000 kr</w:t>
            </w:r>
          </w:p>
        </w:tc>
        <w:tc>
          <w:tcPr>
            <w:tcW w:w="3469" w:type="dxa"/>
            <w:gridSpan w:val="2"/>
            <w:tcBorders>
              <w:top w:val="nil"/>
              <w:left w:val="nil"/>
              <w:bottom w:val="nil"/>
              <w:right w:val="nil"/>
            </w:tcBorders>
            <w:shd w:val="clear" w:color="000000" w:fill="FFFFFF"/>
            <w:noWrap/>
            <w:vAlign w:val="bottom"/>
            <w:hideMark/>
          </w:tcPr>
          <w:p w14:paraId="7030E6FB" w14:textId="77777777" w:rsidR="008F6706" w:rsidRPr="00A86EFC" w:rsidRDefault="008F6706" w:rsidP="006776C1">
            <w:pPr>
              <w:spacing w:after="0" w:line="240" w:lineRule="auto"/>
              <w:jc w:val="center"/>
              <w:rPr>
                <w:rFonts w:ascii="Calibri" w:eastAsia="Times New Roman" w:hAnsi="Calibri" w:cs="Calibri"/>
                <w:color w:val="000000"/>
                <w:sz w:val="18"/>
                <w:szCs w:val="18"/>
              </w:rPr>
            </w:pPr>
            <w:r w:rsidRPr="00A86EFC">
              <w:rPr>
                <w:rFonts w:ascii="Calibri" w:eastAsia="Times New Roman" w:hAnsi="Calibri" w:cs="Calibri"/>
                <w:color w:val="000000"/>
                <w:sz w:val="18"/>
                <w:szCs w:val="18"/>
              </w:rPr>
              <w:t>Låg</w:t>
            </w:r>
            <w:r w:rsidR="006776C1" w:rsidRPr="00A86EFC">
              <w:rPr>
                <w:rFonts w:ascii="Calibri" w:eastAsia="Times New Roman" w:hAnsi="Calibri" w:cs="Calibri"/>
                <w:color w:val="000000"/>
                <w:sz w:val="18"/>
                <w:szCs w:val="18"/>
              </w:rPr>
              <w:t xml:space="preserve"> (accepteras)</w:t>
            </w:r>
          </w:p>
        </w:tc>
      </w:tr>
      <w:tr w:rsidR="008F6706" w:rsidRPr="008F6706" w14:paraId="6565342A" w14:textId="77777777" w:rsidTr="008F6706">
        <w:trPr>
          <w:trHeight w:val="285"/>
          <w:jc w:val="center"/>
        </w:trPr>
        <w:tc>
          <w:tcPr>
            <w:tcW w:w="2060" w:type="dxa"/>
            <w:tcBorders>
              <w:top w:val="nil"/>
              <w:left w:val="nil"/>
              <w:bottom w:val="nil"/>
              <w:right w:val="nil"/>
            </w:tcBorders>
            <w:shd w:val="clear" w:color="000000" w:fill="FFFFFF"/>
            <w:noWrap/>
            <w:vAlign w:val="bottom"/>
            <w:hideMark/>
          </w:tcPr>
          <w:p w14:paraId="4A35E454" w14:textId="77777777" w:rsidR="008F6706" w:rsidRPr="00A86EFC" w:rsidRDefault="008F6706" w:rsidP="008F6706">
            <w:pPr>
              <w:spacing w:after="0" w:line="240" w:lineRule="auto"/>
              <w:jc w:val="right"/>
              <w:rPr>
                <w:rFonts w:ascii="Calibri" w:eastAsia="Times New Roman" w:hAnsi="Calibri" w:cs="Calibri"/>
                <w:color w:val="000000"/>
                <w:sz w:val="18"/>
                <w:szCs w:val="18"/>
              </w:rPr>
            </w:pPr>
            <w:r w:rsidRPr="00A86EFC">
              <w:rPr>
                <w:rFonts w:ascii="Calibri" w:eastAsia="Times New Roman" w:hAnsi="Calibri" w:cs="Calibri"/>
                <w:color w:val="000000"/>
                <w:sz w:val="18"/>
                <w:szCs w:val="18"/>
              </w:rPr>
              <w:t xml:space="preserve">100 000 - 500 000 kr </w:t>
            </w:r>
          </w:p>
        </w:tc>
        <w:tc>
          <w:tcPr>
            <w:tcW w:w="3469" w:type="dxa"/>
            <w:gridSpan w:val="2"/>
            <w:tcBorders>
              <w:top w:val="nil"/>
              <w:left w:val="nil"/>
              <w:bottom w:val="nil"/>
              <w:right w:val="nil"/>
            </w:tcBorders>
            <w:shd w:val="clear" w:color="000000" w:fill="FFFFFF"/>
            <w:noWrap/>
            <w:vAlign w:val="bottom"/>
            <w:hideMark/>
          </w:tcPr>
          <w:p w14:paraId="10855045" w14:textId="77777777" w:rsidR="008F6706" w:rsidRPr="00A86EFC" w:rsidRDefault="006776C1" w:rsidP="006776C1">
            <w:pPr>
              <w:spacing w:after="0" w:line="240" w:lineRule="auto"/>
              <w:jc w:val="center"/>
              <w:rPr>
                <w:rFonts w:ascii="Calibri" w:eastAsia="Times New Roman" w:hAnsi="Calibri" w:cs="Calibri"/>
                <w:color w:val="000000"/>
                <w:sz w:val="18"/>
                <w:szCs w:val="18"/>
              </w:rPr>
            </w:pPr>
            <w:r w:rsidRPr="00A86EFC">
              <w:rPr>
                <w:rFonts w:ascii="Calibri" w:eastAsia="Times New Roman" w:hAnsi="Calibri" w:cs="Calibri"/>
                <w:color w:val="000000"/>
                <w:sz w:val="18"/>
                <w:szCs w:val="18"/>
              </w:rPr>
              <w:t xml:space="preserve">            </w:t>
            </w:r>
            <w:r w:rsidR="008F6706" w:rsidRPr="00A86EFC">
              <w:rPr>
                <w:rFonts w:ascii="Calibri" w:eastAsia="Times New Roman" w:hAnsi="Calibri" w:cs="Calibri"/>
                <w:color w:val="000000"/>
                <w:sz w:val="18"/>
                <w:szCs w:val="18"/>
              </w:rPr>
              <w:t>Medelhög</w:t>
            </w:r>
            <w:r w:rsidRPr="00A86EFC">
              <w:rPr>
                <w:rFonts w:ascii="Calibri" w:eastAsia="Times New Roman" w:hAnsi="Calibri" w:cs="Calibri"/>
                <w:color w:val="000000"/>
                <w:sz w:val="18"/>
                <w:szCs w:val="18"/>
              </w:rPr>
              <w:t xml:space="preserve"> (accepteras)</w:t>
            </w:r>
          </w:p>
        </w:tc>
      </w:tr>
      <w:tr w:rsidR="008F6706" w:rsidRPr="008F6706" w14:paraId="1A677DBD" w14:textId="77777777" w:rsidTr="008F6706">
        <w:trPr>
          <w:trHeight w:val="285"/>
          <w:jc w:val="center"/>
        </w:trPr>
        <w:tc>
          <w:tcPr>
            <w:tcW w:w="2060" w:type="dxa"/>
            <w:tcBorders>
              <w:top w:val="nil"/>
              <w:left w:val="nil"/>
              <w:bottom w:val="nil"/>
              <w:right w:val="nil"/>
            </w:tcBorders>
            <w:shd w:val="clear" w:color="000000" w:fill="FFFFFF"/>
            <w:noWrap/>
            <w:vAlign w:val="bottom"/>
            <w:hideMark/>
          </w:tcPr>
          <w:p w14:paraId="768F2BEF" w14:textId="77777777" w:rsidR="008F6706" w:rsidRPr="00A86EFC" w:rsidRDefault="008F6706" w:rsidP="008F6706">
            <w:pPr>
              <w:spacing w:after="0" w:line="240" w:lineRule="auto"/>
              <w:jc w:val="right"/>
              <w:rPr>
                <w:rFonts w:ascii="Calibri" w:eastAsia="Times New Roman" w:hAnsi="Calibri" w:cs="Calibri"/>
                <w:color w:val="000000"/>
                <w:sz w:val="18"/>
                <w:szCs w:val="18"/>
              </w:rPr>
            </w:pPr>
            <w:r w:rsidRPr="00A86EFC">
              <w:rPr>
                <w:rFonts w:ascii="Calibri" w:eastAsia="Times New Roman" w:hAnsi="Calibri" w:cs="Calibri"/>
                <w:color w:val="000000"/>
                <w:sz w:val="18"/>
                <w:szCs w:val="18"/>
              </w:rPr>
              <w:t>500 000–1 000 000kr</w:t>
            </w:r>
          </w:p>
        </w:tc>
        <w:tc>
          <w:tcPr>
            <w:tcW w:w="3469" w:type="dxa"/>
            <w:gridSpan w:val="2"/>
            <w:tcBorders>
              <w:top w:val="nil"/>
              <w:left w:val="nil"/>
              <w:bottom w:val="nil"/>
              <w:right w:val="nil"/>
            </w:tcBorders>
            <w:shd w:val="clear" w:color="000000" w:fill="FFFFFF"/>
            <w:noWrap/>
            <w:vAlign w:val="bottom"/>
            <w:hideMark/>
          </w:tcPr>
          <w:p w14:paraId="6D95799D" w14:textId="77777777" w:rsidR="008F6706" w:rsidRPr="00A86EFC" w:rsidRDefault="006776C1" w:rsidP="006776C1">
            <w:pPr>
              <w:spacing w:after="0" w:line="240" w:lineRule="auto"/>
              <w:rPr>
                <w:rFonts w:ascii="Calibri" w:eastAsia="Times New Roman" w:hAnsi="Calibri" w:cs="Calibri"/>
                <w:color w:val="000000"/>
                <w:sz w:val="18"/>
                <w:szCs w:val="18"/>
              </w:rPr>
            </w:pPr>
            <w:r w:rsidRPr="00A86EFC">
              <w:rPr>
                <w:rFonts w:ascii="Calibri" w:eastAsia="Times New Roman" w:hAnsi="Calibri" w:cs="Calibri"/>
                <w:color w:val="000000"/>
                <w:sz w:val="18"/>
                <w:szCs w:val="18"/>
              </w:rPr>
              <w:t xml:space="preserve">                   </w:t>
            </w:r>
            <w:r w:rsidR="00A86EFC">
              <w:rPr>
                <w:rFonts w:ascii="Calibri" w:eastAsia="Times New Roman" w:hAnsi="Calibri" w:cs="Calibri"/>
                <w:color w:val="000000"/>
                <w:sz w:val="18"/>
                <w:szCs w:val="18"/>
              </w:rPr>
              <w:t xml:space="preserve">       </w:t>
            </w:r>
            <w:r w:rsidR="008F6706" w:rsidRPr="00A86EFC">
              <w:rPr>
                <w:rFonts w:ascii="Calibri" w:eastAsia="Times New Roman" w:hAnsi="Calibri" w:cs="Calibri"/>
                <w:color w:val="000000"/>
                <w:sz w:val="18"/>
                <w:szCs w:val="18"/>
              </w:rPr>
              <w:t>Hög</w:t>
            </w:r>
            <w:r w:rsidRPr="00A86EFC">
              <w:rPr>
                <w:rFonts w:ascii="Calibri" w:eastAsia="Times New Roman" w:hAnsi="Calibri" w:cs="Calibri"/>
                <w:color w:val="000000"/>
                <w:sz w:val="18"/>
                <w:szCs w:val="18"/>
              </w:rPr>
              <w:t xml:space="preserve"> (förkastas)</w:t>
            </w:r>
          </w:p>
        </w:tc>
      </w:tr>
      <w:tr w:rsidR="008F6706" w:rsidRPr="008F6706" w14:paraId="25C5FEBD" w14:textId="77777777" w:rsidTr="008F6706">
        <w:trPr>
          <w:trHeight w:val="293"/>
          <w:jc w:val="center"/>
        </w:trPr>
        <w:tc>
          <w:tcPr>
            <w:tcW w:w="2060" w:type="dxa"/>
            <w:tcBorders>
              <w:top w:val="nil"/>
              <w:left w:val="nil"/>
              <w:bottom w:val="single" w:sz="8" w:space="0" w:color="auto"/>
              <w:right w:val="nil"/>
            </w:tcBorders>
            <w:shd w:val="clear" w:color="000000" w:fill="FFFFFF"/>
            <w:noWrap/>
            <w:vAlign w:val="bottom"/>
            <w:hideMark/>
          </w:tcPr>
          <w:p w14:paraId="0F4F7F53" w14:textId="77777777" w:rsidR="008F6706" w:rsidRPr="00A86EFC" w:rsidRDefault="008F6706" w:rsidP="008F6706">
            <w:pPr>
              <w:spacing w:after="0" w:line="240" w:lineRule="auto"/>
              <w:jc w:val="right"/>
              <w:rPr>
                <w:rFonts w:ascii="Calibri" w:eastAsia="Times New Roman" w:hAnsi="Calibri" w:cs="Calibri"/>
                <w:color w:val="000000"/>
                <w:sz w:val="18"/>
                <w:szCs w:val="18"/>
              </w:rPr>
            </w:pPr>
            <w:r w:rsidRPr="00A86EFC">
              <w:rPr>
                <w:rFonts w:ascii="Calibri" w:eastAsia="Times New Roman" w:hAnsi="Calibri" w:cs="Calibri"/>
                <w:color w:val="000000"/>
                <w:sz w:val="18"/>
                <w:szCs w:val="18"/>
              </w:rPr>
              <w:t>&gt; 1 000 000 kr</w:t>
            </w:r>
          </w:p>
        </w:tc>
        <w:tc>
          <w:tcPr>
            <w:tcW w:w="3469" w:type="dxa"/>
            <w:gridSpan w:val="2"/>
            <w:tcBorders>
              <w:top w:val="nil"/>
              <w:left w:val="nil"/>
              <w:bottom w:val="single" w:sz="8" w:space="0" w:color="auto"/>
              <w:right w:val="nil"/>
            </w:tcBorders>
            <w:shd w:val="clear" w:color="000000" w:fill="FFFFFF"/>
            <w:noWrap/>
            <w:vAlign w:val="bottom"/>
            <w:hideMark/>
          </w:tcPr>
          <w:p w14:paraId="77D44773" w14:textId="77777777" w:rsidR="008F6706" w:rsidRPr="00A86EFC" w:rsidRDefault="006776C1" w:rsidP="006776C1">
            <w:pPr>
              <w:spacing w:after="0" w:line="240" w:lineRule="auto"/>
              <w:jc w:val="center"/>
              <w:rPr>
                <w:rFonts w:ascii="Calibri" w:eastAsia="Times New Roman" w:hAnsi="Calibri" w:cs="Calibri"/>
                <w:color w:val="000000"/>
                <w:sz w:val="18"/>
                <w:szCs w:val="18"/>
              </w:rPr>
            </w:pPr>
            <w:r w:rsidRPr="00A86EFC">
              <w:rPr>
                <w:rFonts w:ascii="Calibri" w:eastAsia="Times New Roman" w:hAnsi="Calibri" w:cs="Calibri"/>
                <w:color w:val="000000"/>
                <w:sz w:val="18"/>
                <w:szCs w:val="18"/>
              </w:rPr>
              <w:t xml:space="preserve">            </w:t>
            </w:r>
            <w:r w:rsidR="008F6706" w:rsidRPr="00A86EFC">
              <w:rPr>
                <w:rFonts w:ascii="Calibri" w:eastAsia="Times New Roman" w:hAnsi="Calibri" w:cs="Calibri"/>
                <w:color w:val="000000"/>
                <w:sz w:val="18"/>
                <w:szCs w:val="18"/>
              </w:rPr>
              <w:t>Mycket hög</w:t>
            </w:r>
            <w:r w:rsidRPr="00A86EFC">
              <w:rPr>
                <w:rFonts w:ascii="Calibri" w:eastAsia="Times New Roman" w:hAnsi="Calibri" w:cs="Calibri"/>
                <w:color w:val="000000"/>
                <w:sz w:val="18"/>
                <w:szCs w:val="18"/>
              </w:rPr>
              <w:t xml:space="preserve"> (förkastas)</w:t>
            </w:r>
          </w:p>
        </w:tc>
      </w:tr>
    </w:tbl>
    <w:p w14:paraId="37CA6B28" w14:textId="77777777" w:rsidR="00A75620" w:rsidRDefault="00D240B0" w:rsidP="00D240B0">
      <w:pPr>
        <w:pStyle w:val="Normalwebb"/>
        <w:spacing w:before="0" w:beforeAutospacing="0" w:after="0" w:afterAutospacing="0"/>
        <w:rPr>
          <w:iCs/>
          <w:color w:val="000000" w:themeColor="text1"/>
          <w:kern w:val="24"/>
          <w:sz w:val="16"/>
          <w:szCs w:val="16"/>
        </w:rPr>
      </w:pPr>
      <w:r>
        <w:rPr>
          <w:b/>
          <w:iCs/>
          <w:color w:val="000000" w:themeColor="text1"/>
          <w:kern w:val="24"/>
          <w:sz w:val="16"/>
          <w:szCs w:val="16"/>
        </w:rPr>
        <w:t xml:space="preserve">                                           </w:t>
      </w:r>
      <w:r w:rsidR="00F90959" w:rsidRPr="006776C1">
        <w:rPr>
          <w:b/>
          <w:iCs/>
          <w:color w:val="000000" w:themeColor="text1"/>
          <w:kern w:val="24"/>
          <w:sz w:val="16"/>
          <w:szCs w:val="16"/>
        </w:rPr>
        <w:t>Tabell 1:</w:t>
      </w:r>
      <w:r w:rsidR="00F90959" w:rsidRPr="006776C1">
        <w:rPr>
          <w:iCs/>
          <w:color w:val="000000" w:themeColor="text1"/>
          <w:kern w:val="24"/>
          <w:sz w:val="16"/>
          <w:szCs w:val="16"/>
        </w:rPr>
        <w:t xml:space="preserve"> </w:t>
      </w:r>
      <w:r w:rsidR="006776C1" w:rsidRPr="006776C1">
        <w:rPr>
          <w:iCs/>
          <w:color w:val="000000" w:themeColor="text1"/>
          <w:kern w:val="24"/>
          <w:sz w:val="16"/>
          <w:szCs w:val="16"/>
        </w:rPr>
        <w:t>Trösklar för att acceptera eller förkasta en ny behandling</w:t>
      </w:r>
    </w:p>
    <w:p w14:paraId="6B7DB6D8" w14:textId="77777777" w:rsidR="00A86EFC" w:rsidRPr="00A86EFC" w:rsidRDefault="00A86EFC" w:rsidP="00A86EFC">
      <w:pPr>
        <w:pStyle w:val="Normalwebb"/>
        <w:spacing w:before="0" w:beforeAutospacing="0" w:after="0" w:afterAutospacing="0"/>
        <w:jc w:val="center"/>
        <w:rPr>
          <w:iCs/>
          <w:color w:val="000000" w:themeColor="text1"/>
          <w:kern w:val="24"/>
          <w:sz w:val="16"/>
          <w:szCs w:val="16"/>
        </w:rPr>
      </w:pPr>
    </w:p>
    <w:p w14:paraId="50DC6A17" w14:textId="1AED8C7C" w:rsidR="00A75620" w:rsidRDefault="00A75620" w:rsidP="008F4167">
      <w:r>
        <w:t>Som påpekades i föregående stycke är det brukligt att utreda kostnadsnyttoeffekten av en ny behandling mot en annan</w:t>
      </w:r>
      <w:r w:rsidR="00EF4135">
        <w:t>,</w:t>
      </w:r>
      <w:r>
        <w:t xml:space="preserve"> för att avgöra </w:t>
      </w:r>
      <w:r w:rsidR="00EF4135">
        <w:t xml:space="preserve">om </w:t>
      </w:r>
      <w:r>
        <w:t xml:space="preserve">behandlingen bör antas </w:t>
      </w:r>
      <w:r w:rsidR="008F6706">
        <w:t xml:space="preserve">som ny eller kompletterande behandling </w:t>
      </w:r>
      <w:r>
        <w:t xml:space="preserve">eller förkastas. Ofta har man haft möjligheten att testa behandlingen på ett urval patienter. Situationen </w:t>
      </w:r>
      <w:r w:rsidR="008D5D90">
        <w:t>med</w:t>
      </w:r>
      <w:r>
        <w:t xml:space="preserve"> DCD-donationer skiljer sig det traditionella förfarandet </w:t>
      </w:r>
      <w:r w:rsidR="008D5D90">
        <w:t>på så sätt</w:t>
      </w:r>
      <w:r>
        <w:t xml:space="preserve"> att </w:t>
      </w:r>
      <w:r w:rsidR="002D2E89">
        <w:t>metoden inte har prövats i Sverige</w:t>
      </w:r>
      <w:r>
        <w:t xml:space="preserve">. Vi måste således utveckla en strategi för att prognosticera kostnaderna, vinsterna och kostnader per QALY efter införandet av den nya behandlingen. </w:t>
      </w:r>
    </w:p>
    <w:p w14:paraId="32DEC44E" w14:textId="60925BF3" w:rsidR="00A75620" w:rsidRDefault="00A75620" w:rsidP="00A75620">
      <w:r>
        <w:t>Den strategi vi har valt är att</w:t>
      </w:r>
      <w:r w:rsidR="002D2E89">
        <w:t xml:space="preserve"> jämför</w:t>
      </w:r>
      <w:r>
        <w:t>a</w:t>
      </w:r>
      <w:r w:rsidR="002D2E89">
        <w:t xml:space="preserve"> </w:t>
      </w:r>
      <w:r>
        <w:t xml:space="preserve">Sverige med ett land som </w:t>
      </w:r>
      <w:r w:rsidR="008D5D90">
        <w:t xml:space="preserve">redan </w:t>
      </w:r>
      <w:r>
        <w:t xml:space="preserve">infört DCD-donationer, som använt processen en längre tid och som dessutom har ett hälso- och sjukvårdssystem som kan jämföras med den svenska </w:t>
      </w:r>
      <w:r w:rsidR="008D5D90">
        <w:t xml:space="preserve">hälso- och </w:t>
      </w:r>
      <w:r>
        <w:t>sjukvården.</w:t>
      </w:r>
      <w:r w:rsidR="002D2E89">
        <w:t xml:space="preserve"> Som nämndes tidigare har ett flertal länder i världen introducerat DCD-donationsprocesser men få länder är jämförbara med svenska förhållanden</w:t>
      </w:r>
      <w:r w:rsidR="00045196">
        <w:t>.</w:t>
      </w:r>
      <w:r>
        <w:t xml:space="preserve"> Genom en</w:t>
      </w:r>
      <w:r w:rsidR="002D2E89">
        <w:t xml:space="preserve"> studie av potentiellt jämförbara länder valdes Storbritannien på grund av den långa erfarenheten, </w:t>
      </w:r>
      <w:r w:rsidR="008419C4">
        <w:t>det etiska förhållningssättet till donation samt likheterna i resultateten med transplantationer utförda med DBD-donerade njurar</w:t>
      </w:r>
      <w:r w:rsidR="002D2E89">
        <w:t xml:space="preserve">.   </w:t>
      </w:r>
    </w:p>
    <w:p w14:paraId="271DB6E9" w14:textId="77777777" w:rsidR="008419C4" w:rsidRDefault="00A75620" w:rsidP="00A75620">
      <w:r>
        <w:t xml:space="preserve">Vi vill jämföra två behandlingsmetoder. Den första, som vi hädanefter kallar </w:t>
      </w:r>
      <w:r>
        <w:rPr>
          <w:b/>
          <w:i/>
        </w:rPr>
        <w:t>B</w:t>
      </w:r>
      <w:r w:rsidRPr="00A75620">
        <w:rPr>
          <w:b/>
          <w:i/>
        </w:rPr>
        <w:t>ehandling 1</w:t>
      </w:r>
      <w:r>
        <w:t xml:space="preserve"> innefattar Haemodialys (HD), peritonealdialys (PD) och </w:t>
      </w:r>
      <w:r w:rsidR="008419C4">
        <w:t xml:space="preserve">transplantation (Tx) med </w:t>
      </w:r>
      <w:r>
        <w:t>DBD-don</w:t>
      </w:r>
      <w:r w:rsidR="008419C4">
        <w:t>erade njurar</w:t>
      </w:r>
      <w:r>
        <w:t xml:space="preserve">. Den andra som utöver behandlingsformerna i behandling 1 också innehåller </w:t>
      </w:r>
      <w:r w:rsidR="008419C4">
        <w:t xml:space="preserve">transplantationer med </w:t>
      </w:r>
      <w:r>
        <w:t>DCD-doner</w:t>
      </w:r>
      <w:r w:rsidR="008419C4">
        <w:t>ade njurar</w:t>
      </w:r>
      <w:r>
        <w:t xml:space="preserve"> kallas </w:t>
      </w:r>
      <w:r w:rsidRPr="00A75620">
        <w:rPr>
          <w:b/>
          <w:i/>
        </w:rPr>
        <w:t>Behandling 2</w:t>
      </w:r>
      <w:r>
        <w:t xml:space="preserve">. I ett första skede jämför vi </w:t>
      </w:r>
      <w:r w:rsidRPr="00A75620">
        <w:t>Behandling</w:t>
      </w:r>
      <w:r>
        <w:t xml:space="preserve"> 1 i Sverige och Storbritannien och kvantifierar skillnaderna mellan båda länderna. Dessa skillnader förs sedan över till svenska förhållanden vid införandet av Behandling 2 i Sverige. </w:t>
      </w:r>
    </w:p>
    <w:p w14:paraId="39FEC291" w14:textId="77777777" w:rsidR="008419C4" w:rsidRDefault="00A86EFC" w:rsidP="008419C4">
      <w:pPr>
        <w:jc w:val="center"/>
      </w:pPr>
      <w:r w:rsidRPr="008419C4">
        <w:rPr>
          <w:noProof/>
          <w:lang w:eastAsia="sv-SE"/>
        </w:rPr>
        <mc:AlternateContent>
          <mc:Choice Requires="wps">
            <w:drawing>
              <wp:anchor distT="0" distB="0" distL="114300" distR="114300" simplePos="0" relativeHeight="251668480" behindDoc="0" locked="0" layoutInCell="1" allowOverlap="1" wp14:anchorId="6B66AA93" wp14:editId="5CAABBF7">
                <wp:simplePos x="0" y="0"/>
                <wp:positionH relativeFrom="column">
                  <wp:posOffset>3195993</wp:posOffset>
                </wp:positionH>
                <wp:positionV relativeFrom="paragraph">
                  <wp:posOffset>79592</wp:posOffset>
                </wp:positionV>
                <wp:extent cx="131457" cy="418124"/>
                <wp:effectExtent l="0" t="9842" r="0" b="30163"/>
                <wp:wrapNone/>
                <wp:docPr id="16" name="Arrow: Down 15"/>
                <wp:cNvGraphicFramePr/>
                <a:graphic xmlns:a="http://schemas.openxmlformats.org/drawingml/2006/main">
                  <a:graphicData uri="http://schemas.microsoft.com/office/word/2010/wordprocessingShape">
                    <wps:wsp>
                      <wps:cNvSpPr/>
                      <wps:spPr>
                        <a:xfrm rot="16200000">
                          <a:off x="0" y="0"/>
                          <a:ext cx="131457" cy="418124"/>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5B3D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251.65pt;margin-top:6.25pt;width:10.35pt;height:32.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" adj="18205" filled="f" strokecolor="black [1600]" strokeweight="1pt"/>
            </w:pict>
          </mc:Fallback>
        </mc:AlternateContent>
      </w:r>
      <w:r w:rsidRPr="008419C4">
        <w:rPr>
          <w:noProof/>
          <w:lang w:eastAsia="sv-SE"/>
        </w:rPr>
        <mc:AlternateContent>
          <mc:Choice Requires="wps">
            <w:drawing>
              <wp:anchor distT="0" distB="0" distL="114300" distR="114300" simplePos="0" relativeHeight="251667456" behindDoc="0" locked="0" layoutInCell="1" allowOverlap="1" wp14:anchorId="1CF9E898" wp14:editId="3A5CDE58">
                <wp:simplePos x="0" y="0"/>
                <wp:positionH relativeFrom="column">
                  <wp:posOffset>1725613</wp:posOffset>
                </wp:positionH>
                <wp:positionV relativeFrom="paragraph">
                  <wp:posOffset>127597</wp:posOffset>
                </wp:positionV>
                <wp:extent cx="133995" cy="339090"/>
                <wp:effectExtent l="0" t="26352" r="0" b="30163"/>
                <wp:wrapNone/>
                <wp:docPr id="14" name="Arrow: Down 13"/>
                <wp:cNvGraphicFramePr/>
                <a:graphic xmlns:a="http://schemas.openxmlformats.org/drawingml/2006/main">
                  <a:graphicData uri="http://schemas.microsoft.com/office/word/2010/wordprocessingShape">
                    <wps:wsp>
                      <wps:cNvSpPr/>
                      <wps:spPr>
                        <a:xfrm rot="16200000">
                          <a:off x="0" y="0"/>
                          <a:ext cx="133995" cy="339090"/>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C33CD" id="Arrow: Down 13" o:spid="_x0000_s1026" type="#_x0000_t67" style="position:absolute;margin-left:135.9pt;margin-top:10.05pt;width:10.55pt;height:26.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" adj="17332" filled="f" strokecolor="black [1600]" strokeweight="1pt"/>
            </w:pict>
          </mc:Fallback>
        </mc:AlternateContent>
      </w:r>
      <w:r w:rsidRPr="008419C4">
        <w:rPr>
          <w:noProof/>
          <w:lang w:eastAsia="sv-SE"/>
        </w:rPr>
        <mc:AlternateContent>
          <mc:Choice Requires="wps">
            <w:drawing>
              <wp:anchor distT="0" distB="0" distL="114300" distR="114300" simplePos="0" relativeHeight="251659264" behindDoc="0" locked="0" layoutInCell="1" allowOverlap="1" wp14:anchorId="17CAA89E" wp14:editId="54B37649">
                <wp:simplePos x="0" y="0"/>
                <wp:positionH relativeFrom="column">
                  <wp:posOffset>131166</wp:posOffset>
                </wp:positionH>
                <wp:positionV relativeFrom="paragraph">
                  <wp:posOffset>109296</wp:posOffset>
                </wp:positionV>
                <wp:extent cx="1430121" cy="411480"/>
                <wp:effectExtent l="0" t="0" r="17780" b="26670"/>
                <wp:wrapNone/>
                <wp:docPr id="5" name="Rectangle: Rounded Corners 4"/>
                <wp:cNvGraphicFramePr/>
                <a:graphic xmlns:a="http://schemas.openxmlformats.org/drawingml/2006/main">
                  <a:graphicData uri="http://schemas.microsoft.com/office/word/2010/wordprocessingShape">
                    <wps:wsp>
                      <wps:cNvSpPr/>
                      <wps:spPr>
                        <a:xfrm>
                          <a:off x="0" y="0"/>
                          <a:ext cx="1430121" cy="4114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B326D"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DBD (UK)</w:t>
                            </w:r>
                          </w:p>
                          <w:p w14:paraId="427A26E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from NHS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CAA89E" id="Rectangle: Rounded Corners 4" o:spid="_x0000_s1026" style="position:absolute;left:0;text-align:left;margin-left:10.35pt;margin-top:8.6pt;width:112.6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" fillcolor="#ededed [662]" strokecolor="#1f3763 [1604]" strokeweight="1pt">
                <v:stroke joinstyle="miter"/>
                <v:textbox>
                  <w:txbxContent>
                    <w:p w14:paraId="036B326D"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DBD (UK)</w:t>
                      </w:r>
                    </w:p>
                    <w:p w14:paraId="427A26E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from NHS</w:t>
                      </w:r>
                    </w:p>
                  </w:txbxContent>
                </v:textbox>
              </v:roundrect>
            </w:pict>
          </mc:Fallback>
        </mc:AlternateContent>
      </w:r>
      <w:r w:rsidR="008F6706" w:rsidRPr="008419C4">
        <w:rPr>
          <w:noProof/>
          <w:lang w:eastAsia="sv-SE"/>
        </w:rPr>
        <mc:AlternateContent>
          <mc:Choice Requires="wps">
            <w:drawing>
              <wp:anchor distT="0" distB="0" distL="114300" distR="114300" simplePos="0" relativeHeight="251660288" behindDoc="0" locked="0" layoutInCell="1" allowOverlap="1" wp14:anchorId="03CDB3E7" wp14:editId="057B4F2E">
                <wp:simplePos x="0" y="0"/>
                <wp:positionH relativeFrom="column">
                  <wp:posOffset>3507969</wp:posOffset>
                </wp:positionH>
                <wp:positionV relativeFrom="paragraph">
                  <wp:posOffset>131115</wp:posOffset>
                </wp:positionV>
                <wp:extent cx="1789797" cy="389845"/>
                <wp:effectExtent l="0" t="0" r="20320" b="10795"/>
                <wp:wrapNone/>
                <wp:docPr id="6" name="Rectangle: Rounded Corners 5"/>
                <wp:cNvGraphicFramePr/>
                <a:graphic xmlns:a="http://schemas.openxmlformats.org/drawingml/2006/main">
                  <a:graphicData uri="http://schemas.microsoft.com/office/word/2010/wordprocessingShape">
                    <wps:wsp>
                      <wps:cNvSpPr/>
                      <wps:spPr>
                        <a:xfrm>
                          <a:off x="0" y="0"/>
                          <a:ext cx="1789797" cy="38984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9AB80"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DBD (SE)</w:t>
                            </w:r>
                          </w:p>
                          <w:p w14:paraId="00D55221"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från SNR och Vävnadsrådet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CDB3E7" id="Rectangle: Rounded Corners 5" o:spid="_x0000_s1027" style="position:absolute;left:0;text-align:left;margin-left:276.2pt;margin-top:10.3pt;width:140.95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" fillcolor="#e7e6e6 [3214]" strokecolor="#1f3763 [1604]" strokeweight="1pt">
                <v:stroke joinstyle="miter"/>
                <v:textbox>
                  <w:txbxContent>
                    <w:p w14:paraId="7119AB80"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DBD (SE)</w:t>
                      </w:r>
                    </w:p>
                    <w:p w14:paraId="00D55221"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från SNR och Vävnadsrådet</w:t>
                      </w:r>
                    </w:p>
                  </w:txbxContent>
                </v:textbox>
              </v:roundrect>
            </w:pict>
          </mc:Fallback>
        </mc:AlternateContent>
      </w:r>
      <w:r w:rsidR="008F6706" w:rsidRPr="008419C4">
        <w:rPr>
          <w:noProof/>
          <w:lang w:eastAsia="sv-SE"/>
        </w:rPr>
        <mc:AlternateContent>
          <mc:Choice Requires="wps">
            <w:drawing>
              <wp:anchor distT="0" distB="0" distL="114300" distR="114300" simplePos="0" relativeHeight="251661312" behindDoc="0" locked="0" layoutInCell="1" allowOverlap="1" wp14:anchorId="66995C45" wp14:editId="2475A4A0">
                <wp:simplePos x="0" y="0"/>
                <wp:positionH relativeFrom="column">
                  <wp:posOffset>2021789</wp:posOffset>
                </wp:positionH>
                <wp:positionV relativeFrom="paragraph">
                  <wp:posOffset>182245</wp:posOffset>
                </wp:positionV>
                <wp:extent cx="936371" cy="229235"/>
                <wp:effectExtent l="0" t="0" r="16510" b="18415"/>
                <wp:wrapNone/>
                <wp:docPr id="7" name="Rectangle: Rounded Corners 6"/>
                <wp:cNvGraphicFramePr/>
                <a:graphic xmlns:a="http://schemas.openxmlformats.org/drawingml/2006/main">
                  <a:graphicData uri="http://schemas.microsoft.com/office/word/2010/wordprocessingShape">
                    <wps:wsp>
                      <wps:cNvSpPr/>
                      <wps:spPr>
                        <a:xfrm>
                          <a:off x="0" y="0"/>
                          <a:ext cx="936371" cy="22923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389A7E" w14:textId="77777777" w:rsidR="004A021B" w:rsidRPr="008F6706" w:rsidRDefault="004A021B" w:rsidP="008419C4">
                            <w:pPr>
                              <w:spacing w:after="0"/>
                              <w:jc w:val="center"/>
                              <w:rPr>
                                <w:b/>
                                <w:sz w:val="16"/>
                                <w:szCs w:val="16"/>
                              </w:rPr>
                            </w:pPr>
                            <w:r w:rsidRPr="008F6706">
                              <w:rPr>
                                <w:rFonts w:ascii="Calibri" w:hAnsi="Calibri"/>
                                <w:b/>
                                <w:color w:val="3E3E3E"/>
                                <w:kern w:val="24"/>
                                <w:sz w:val="16"/>
                                <w:szCs w:val="16"/>
                                <w14:shadow w14:blurRad="38100" w14:dist="19050" w14:dir="2700000" w14:sx="100000" w14:sy="100000" w14:kx="0" w14:ky="0" w14:algn="tl">
                                  <w14:srgbClr w14:val="3E3E3E">
                                    <w14:alpha w14:val="60000"/>
                                  </w14:srgbClr>
                                </w14:shadow>
                              </w:rPr>
                              <w:t>Utred skillnader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995C45" id="Rectangle: Rounded Corners 6" o:spid="_x0000_s1028" style="position:absolute;left:0;text-align:left;margin-left:159.2pt;margin-top:14.35pt;width:73.75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" fillcolor="#c5e0b3 [1305]" strokecolor="#1f3763 [1604]" strokeweight="1pt">
                <v:stroke joinstyle="miter"/>
                <v:textbox>
                  <w:txbxContent>
                    <w:p w14:paraId="5F389A7E" w14:textId="77777777" w:rsidR="004A021B" w:rsidRPr="008F6706" w:rsidRDefault="004A021B" w:rsidP="008419C4">
                      <w:pPr>
                        <w:spacing w:after="0"/>
                        <w:jc w:val="center"/>
                        <w:rPr>
                          <w:b/>
                          <w:sz w:val="16"/>
                          <w:szCs w:val="16"/>
                        </w:rPr>
                      </w:pPr>
                      <w:r w:rsidRPr="008F6706">
                        <w:rPr>
                          <w:rFonts w:ascii="Calibri" w:hAnsi="Calibri"/>
                          <w:b/>
                          <w:color w:val="3E3E3E"/>
                          <w:kern w:val="24"/>
                          <w:sz w:val="16"/>
                          <w:szCs w:val="16"/>
                          <w14:shadow w14:blurRad="38100" w14:dist="19050" w14:dir="2700000" w14:sx="100000" w14:sy="100000" w14:kx="0" w14:ky="0" w14:algn="tl">
                            <w14:srgbClr w14:val="3E3E3E">
                              <w14:alpha w14:val="60000"/>
                            </w14:srgbClr>
                          </w14:shadow>
                        </w:rPr>
                        <w:t>Utred skillnader</w:t>
                      </w:r>
                    </w:p>
                  </w:txbxContent>
                </v:textbox>
              </v:roundrect>
            </w:pict>
          </mc:Fallback>
        </mc:AlternateContent>
      </w:r>
    </w:p>
    <w:p w14:paraId="7D7AF7CF" w14:textId="77777777" w:rsidR="008419C4" w:rsidRDefault="008F6706" w:rsidP="00A75620">
      <w:r w:rsidRPr="008419C4">
        <w:rPr>
          <w:noProof/>
          <w:lang w:eastAsia="sv-SE"/>
        </w:rPr>
        <mc:AlternateContent>
          <mc:Choice Requires="wps">
            <w:drawing>
              <wp:anchor distT="0" distB="0" distL="114300" distR="114300" simplePos="0" relativeHeight="251665408" behindDoc="0" locked="0" layoutInCell="1" allowOverlap="1" wp14:anchorId="503954A2" wp14:editId="4270A1C5">
                <wp:simplePos x="0" y="0"/>
                <wp:positionH relativeFrom="column">
                  <wp:posOffset>2281886</wp:posOffset>
                </wp:positionH>
                <wp:positionV relativeFrom="paragraph">
                  <wp:posOffset>178714</wp:posOffset>
                </wp:positionV>
                <wp:extent cx="393700" cy="201168"/>
                <wp:effectExtent l="38100" t="0" r="6350" b="46990"/>
                <wp:wrapNone/>
                <wp:docPr id="11" name="Arrow: Down 10"/>
                <wp:cNvGraphicFramePr/>
                <a:graphic xmlns:a="http://schemas.openxmlformats.org/drawingml/2006/main">
                  <a:graphicData uri="http://schemas.microsoft.com/office/word/2010/wordprocessingShape">
                    <wps:wsp>
                      <wps:cNvSpPr/>
                      <wps:spPr>
                        <a:xfrm>
                          <a:off x="0" y="0"/>
                          <a:ext cx="393700" cy="201168"/>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5C308" id="Arrow: Down 10" o:spid="_x0000_s1026" type="#_x0000_t67" style="position:absolute;margin-left:179.7pt;margin-top:14.05pt;width:31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" adj="10800" filled="f" strokecolor="black [1600]" strokeweight="1pt"/>
            </w:pict>
          </mc:Fallback>
        </mc:AlternateContent>
      </w:r>
    </w:p>
    <w:p w14:paraId="7181B6CF" w14:textId="77777777" w:rsidR="008419C4" w:rsidRDefault="00A86EFC" w:rsidP="00A75620">
      <w:r w:rsidRPr="008419C4">
        <w:rPr>
          <w:noProof/>
          <w:lang w:eastAsia="sv-SE"/>
        </w:rPr>
        <mc:AlternateContent>
          <mc:Choice Requires="wps">
            <w:drawing>
              <wp:anchor distT="0" distB="0" distL="114300" distR="114300" simplePos="0" relativeHeight="251664384" behindDoc="0" locked="0" layoutInCell="1" allowOverlap="1" wp14:anchorId="75FAD103" wp14:editId="3231671D">
                <wp:simplePos x="0" y="0"/>
                <wp:positionH relativeFrom="margin">
                  <wp:posOffset>1914525</wp:posOffset>
                </wp:positionH>
                <wp:positionV relativeFrom="paragraph">
                  <wp:posOffset>19685</wp:posOffset>
                </wp:positionV>
                <wp:extent cx="1309370" cy="467995"/>
                <wp:effectExtent l="0" t="19050" r="43180" b="46355"/>
                <wp:wrapNone/>
                <wp:docPr id="10" name="Arrow: Right 9"/>
                <wp:cNvGraphicFramePr/>
                <a:graphic xmlns:a="http://schemas.openxmlformats.org/drawingml/2006/main">
                  <a:graphicData uri="http://schemas.microsoft.com/office/word/2010/wordprocessingShape">
                    <wps:wsp>
                      <wps:cNvSpPr/>
                      <wps:spPr>
                        <a:xfrm>
                          <a:off x="0" y="0"/>
                          <a:ext cx="1309370" cy="467995"/>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FAA04" w14:textId="77777777" w:rsidR="004A021B" w:rsidRPr="008F6706" w:rsidRDefault="004A021B" w:rsidP="008419C4">
                            <w:pPr>
                              <w:spacing w:after="0"/>
                              <w:jc w:val="center"/>
                              <w:rPr>
                                <w:sz w:val="16"/>
                                <w:szCs w:val="16"/>
                              </w:rPr>
                            </w:pPr>
                            <w:r w:rsidRPr="008F6706">
                              <w:rPr>
                                <w:rFonts w:ascii="Calibri" w:hAnsi="Calibri"/>
                                <w:b/>
                                <w:bCs/>
                                <w:color w:val="000000" w:themeColor="text1"/>
                                <w:kern w:val="24"/>
                                <w:sz w:val="16"/>
                                <w:szCs w:val="16"/>
                                <w14:shadow w14:blurRad="38100" w14:dist="19050" w14:dir="2700000" w14:sx="100000" w14:sy="100000" w14:kx="0" w14:ky="0" w14:algn="tl">
                                  <w14:srgbClr w14:val="3E3E3E">
                                    <w14:alpha w14:val="60000"/>
                                  </w14:srgbClr>
                                </w14:shadow>
                              </w:rPr>
                              <w:t>Prognosticera DCD(SE)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FAD1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margin-left:150.75pt;margin-top:1.55pt;width:103.1pt;height:3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" adj="17740" fillcolor="#b4c6e7 [1300]" strokecolor="#1f3763 [1604]" strokeweight="1pt">
                <v:textbox>
                  <w:txbxContent>
                    <w:p w14:paraId="209FAA04" w14:textId="77777777" w:rsidR="004A021B" w:rsidRPr="008F6706" w:rsidRDefault="004A021B" w:rsidP="008419C4">
                      <w:pPr>
                        <w:spacing w:after="0"/>
                        <w:jc w:val="center"/>
                        <w:rPr>
                          <w:sz w:val="16"/>
                          <w:szCs w:val="16"/>
                        </w:rPr>
                      </w:pPr>
                      <w:r w:rsidRPr="008F6706">
                        <w:rPr>
                          <w:rFonts w:ascii="Calibri" w:hAnsi="Calibri"/>
                          <w:b/>
                          <w:bCs/>
                          <w:color w:val="000000" w:themeColor="text1"/>
                          <w:kern w:val="24"/>
                          <w:sz w:val="16"/>
                          <w:szCs w:val="16"/>
                          <w14:shadow w14:blurRad="38100" w14:dist="19050" w14:dir="2700000" w14:sx="100000" w14:sy="100000" w14:kx="0" w14:ky="0" w14:algn="tl">
                            <w14:srgbClr w14:val="3E3E3E">
                              <w14:alpha w14:val="60000"/>
                            </w14:srgbClr>
                          </w14:shadow>
                        </w:rPr>
                        <w:t>Prognosticera DCD(SE)</w:t>
                      </w:r>
                    </w:p>
                  </w:txbxContent>
                </v:textbox>
                <w10:wrap anchorx="margin"/>
              </v:shape>
            </w:pict>
          </mc:Fallback>
        </mc:AlternateContent>
      </w:r>
      <w:r w:rsidRPr="008419C4">
        <w:rPr>
          <w:noProof/>
          <w:lang w:eastAsia="sv-SE"/>
        </w:rPr>
        <mc:AlternateContent>
          <mc:Choice Requires="wps">
            <w:drawing>
              <wp:anchor distT="0" distB="0" distL="114300" distR="114300" simplePos="0" relativeHeight="251662336" behindDoc="0" locked="0" layoutInCell="1" allowOverlap="1" wp14:anchorId="2C4D834D" wp14:editId="34B2EA8E">
                <wp:simplePos x="0" y="0"/>
                <wp:positionH relativeFrom="margin">
                  <wp:posOffset>123851</wp:posOffset>
                </wp:positionH>
                <wp:positionV relativeFrom="paragraph">
                  <wp:posOffset>31597</wp:posOffset>
                </wp:positionV>
                <wp:extent cx="1452245" cy="387705"/>
                <wp:effectExtent l="0" t="0" r="14605" b="12700"/>
                <wp:wrapNone/>
                <wp:docPr id="8" name="Rectangle: Rounded Corners 7"/>
                <wp:cNvGraphicFramePr/>
                <a:graphic xmlns:a="http://schemas.openxmlformats.org/drawingml/2006/main">
                  <a:graphicData uri="http://schemas.microsoft.com/office/word/2010/wordprocessingShape">
                    <wps:wsp>
                      <wps:cNvSpPr/>
                      <wps:spPr>
                        <a:xfrm>
                          <a:off x="0" y="0"/>
                          <a:ext cx="1452245" cy="38770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7F9D2"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DCD (UK)</w:t>
                            </w:r>
                          </w:p>
                          <w:p w14:paraId="6A47BF2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från NHS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4D834D" id="Rectangle: Rounded Corners 7" o:spid="_x0000_s1030" style="position:absolute;margin-left:9.75pt;margin-top:2.5pt;width:114.35pt;height:3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" fillcolor="#e7e6e6 [3214]" strokecolor="#1f3763 [1604]" strokeweight="1pt">
                <v:stroke joinstyle="miter"/>
                <v:textbox>
                  <w:txbxContent>
                    <w:p w14:paraId="3E47F9D2"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DCD (UK)</w:t>
                      </w:r>
                    </w:p>
                    <w:p w14:paraId="6A47BF2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Statistik från NHS</w:t>
                      </w:r>
                    </w:p>
                  </w:txbxContent>
                </v:textbox>
                <w10:wrap anchorx="margin"/>
              </v:roundrect>
            </w:pict>
          </mc:Fallback>
        </mc:AlternateContent>
      </w:r>
      <w:r w:rsidRPr="008419C4">
        <w:rPr>
          <w:noProof/>
          <w:lang w:eastAsia="sv-SE"/>
        </w:rPr>
        <mc:AlternateContent>
          <mc:Choice Requires="wps">
            <w:drawing>
              <wp:anchor distT="0" distB="0" distL="114300" distR="114300" simplePos="0" relativeHeight="251663360" behindDoc="0" locked="0" layoutInCell="1" allowOverlap="1" wp14:anchorId="4EDD0B4C" wp14:editId="110747EA">
                <wp:simplePos x="0" y="0"/>
                <wp:positionH relativeFrom="column">
                  <wp:posOffset>3500298</wp:posOffset>
                </wp:positionH>
                <wp:positionV relativeFrom="paragraph">
                  <wp:posOffset>32156</wp:posOffset>
                </wp:positionV>
                <wp:extent cx="1796212" cy="405994"/>
                <wp:effectExtent l="0" t="0" r="13970" b="13335"/>
                <wp:wrapNone/>
                <wp:docPr id="9" name="Rectangle: Rounded Corners 8"/>
                <wp:cNvGraphicFramePr/>
                <a:graphic xmlns:a="http://schemas.openxmlformats.org/drawingml/2006/main">
                  <a:graphicData uri="http://schemas.microsoft.com/office/word/2010/wordprocessingShape">
                    <wps:wsp>
                      <wps:cNvSpPr/>
                      <wps:spPr>
                        <a:xfrm>
                          <a:off x="0" y="0"/>
                          <a:ext cx="1796212" cy="405994"/>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A6A5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DCD (SE)</w:t>
                            </w:r>
                          </w:p>
                          <w:p w14:paraId="4BBFB1C0"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Prognos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DD0B4C" id="Rectangle: Rounded Corners 8" o:spid="_x0000_s1031" style="position:absolute;margin-left:275.6pt;margin-top:2.55pt;width:141.4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" fillcolor="#e7e6e6 [3214]" strokecolor="#1f3763 [1604]" strokeweight="1pt">
                <v:stroke joinstyle="miter"/>
                <v:textbox>
                  <w:txbxContent>
                    <w:p w14:paraId="53AA6A5F"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DCD (SE)</w:t>
                      </w:r>
                    </w:p>
                    <w:p w14:paraId="4BBFB1C0" w14:textId="77777777" w:rsidR="004A021B" w:rsidRPr="008F6706" w:rsidRDefault="004A021B" w:rsidP="008419C4">
                      <w:pPr>
                        <w:spacing w:after="0"/>
                        <w:jc w:val="center"/>
                        <w:rPr>
                          <w:b/>
                          <w:color w:val="000000" w:themeColor="text1"/>
                          <w:sz w:val="16"/>
                          <w:szCs w:val="16"/>
                        </w:rPr>
                      </w:pPr>
                      <w:r w:rsidRPr="008F6706">
                        <w:rPr>
                          <w:rFonts w:ascii="Calibri" w:hAnsi="Calibri"/>
                          <w:b/>
                          <w:color w:val="000000" w:themeColor="text1"/>
                          <w:kern w:val="24"/>
                          <w:sz w:val="16"/>
                          <w:szCs w:val="16"/>
                        </w:rPr>
                        <w:t>Prognos</w:t>
                      </w:r>
                    </w:p>
                  </w:txbxContent>
                </v:textbox>
              </v:roundrect>
            </w:pict>
          </mc:Fallback>
        </mc:AlternateContent>
      </w:r>
    </w:p>
    <w:p w14:paraId="184F11B9" w14:textId="77777777" w:rsidR="008419C4" w:rsidRDefault="00A86EFC" w:rsidP="00A75620">
      <w:r w:rsidRPr="008419C4">
        <w:rPr>
          <w:noProof/>
          <w:lang w:eastAsia="sv-SE"/>
        </w:rPr>
        <mc:AlternateContent>
          <mc:Choice Requires="wps">
            <w:drawing>
              <wp:anchor distT="0" distB="0" distL="114300" distR="114300" simplePos="0" relativeHeight="251670528" behindDoc="0" locked="0" layoutInCell="1" allowOverlap="1" wp14:anchorId="5F5EA5A9" wp14:editId="4D063370">
                <wp:simplePos x="0" y="0"/>
                <wp:positionH relativeFrom="column">
                  <wp:posOffset>3964813</wp:posOffset>
                </wp:positionH>
                <wp:positionV relativeFrom="paragraph">
                  <wp:posOffset>203606</wp:posOffset>
                </wp:positionV>
                <wp:extent cx="950976" cy="223114"/>
                <wp:effectExtent l="38100" t="0" r="0" b="43815"/>
                <wp:wrapNone/>
                <wp:docPr id="20" name="Arrow: Down 10"/>
                <wp:cNvGraphicFramePr/>
                <a:graphic xmlns:a="http://schemas.openxmlformats.org/drawingml/2006/main">
                  <a:graphicData uri="http://schemas.microsoft.com/office/word/2010/wordprocessingShape">
                    <wps:wsp>
                      <wps:cNvSpPr/>
                      <wps:spPr>
                        <a:xfrm>
                          <a:off x="0" y="0"/>
                          <a:ext cx="950976" cy="223114"/>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EB7DE" id="Arrow: Down 10" o:spid="_x0000_s1026" type="#_x0000_t67" style="position:absolute;margin-left:312.2pt;margin-top:16.05pt;width:74.9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" adj="10800" filled="f" strokecolor="black [1600]" strokeweight="1pt"/>
            </w:pict>
          </mc:Fallback>
        </mc:AlternateContent>
      </w:r>
    </w:p>
    <w:p w14:paraId="2C6796B0" w14:textId="77777777" w:rsidR="008419C4" w:rsidRPr="00A75620" w:rsidRDefault="00A86EFC" w:rsidP="00A75620">
      <w:r w:rsidRPr="008419C4">
        <w:rPr>
          <w:noProof/>
          <w:lang w:eastAsia="sv-SE"/>
        </w:rPr>
        <mc:AlternateContent>
          <mc:Choice Requires="wps">
            <w:drawing>
              <wp:anchor distT="0" distB="0" distL="114300" distR="114300" simplePos="0" relativeHeight="251666432" behindDoc="0" locked="0" layoutInCell="1" allowOverlap="1" wp14:anchorId="01F030E0" wp14:editId="768FA50A">
                <wp:simplePos x="0" y="0"/>
                <wp:positionH relativeFrom="column">
                  <wp:posOffset>3368065</wp:posOffset>
                </wp:positionH>
                <wp:positionV relativeFrom="paragraph">
                  <wp:posOffset>181178</wp:posOffset>
                </wp:positionV>
                <wp:extent cx="2120926" cy="241401"/>
                <wp:effectExtent l="0" t="0" r="12700" b="25400"/>
                <wp:wrapNone/>
                <wp:docPr id="12" name="Rectangle: Rounded Corners 11"/>
                <wp:cNvGraphicFramePr/>
                <a:graphic xmlns:a="http://schemas.openxmlformats.org/drawingml/2006/main">
                  <a:graphicData uri="http://schemas.microsoft.com/office/word/2010/wordprocessingShape">
                    <wps:wsp>
                      <wps:cNvSpPr/>
                      <wps:spPr>
                        <a:xfrm>
                          <a:off x="0" y="0"/>
                          <a:ext cx="2120926" cy="241401"/>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1D679" w14:textId="77777777" w:rsidR="004A021B" w:rsidRPr="008F6706" w:rsidRDefault="004A021B" w:rsidP="008419C4">
                            <w:pPr>
                              <w:spacing w:after="0"/>
                              <w:jc w:val="center"/>
                              <w:rPr>
                                <w:sz w:val="16"/>
                                <w:szCs w:val="16"/>
                              </w:rPr>
                            </w:pPr>
                            <w:r w:rsidRPr="008F6706">
                              <w:rPr>
                                <w:rFonts w:ascii="Calibri" w:hAnsi="Calibri"/>
                                <w:b/>
                                <w:bCs/>
                                <w:color w:val="000000" w:themeColor="text1"/>
                                <w:kern w:val="24"/>
                                <w:sz w:val="16"/>
                                <w:szCs w:val="16"/>
                              </w:rPr>
                              <w:t>Jämför Behandling 1 med Behandling 2 (SE)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F030E0" id="Rectangle: Rounded Corners 11" o:spid="_x0000_s1032" style="position:absolute;margin-left:265.2pt;margin-top:14.25pt;width:167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" fillcolor="#a5a5a5 [2092]" strokecolor="#1f3763 [1604]" strokeweight="1pt">
                <v:stroke joinstyle="miter"/>
                <v:textbox>
                  <w:txbxContent>
                    <w:p w14:paraId="3721D679" w14:textId="77777777" w:rsidR="004A021B" w:rsidRPr="008F6706" w:rsidRDefault="004A021B" w:rsidP="008419C4">
                      <w:pPr>
                        <w:spacing w:after="0"/>
                        <w:jc w:val="center"/>
                        <w:rPr>
                          <w:sz w:val="16"/>
                          <w:szCs w:val="16"/>
                        </w:rPr>
                      </w:pPr>
                      <w:r w:rsidRPr="008F6706">
                        <w:rPr>
                          <w:rFonts w:ascii="Calibri" w:hAnsi="Calibri"/>
                          <w:b/>
                          <w:bCs/>
                          <w:color w:val="000000" w:themeColor="text1"/>
                          <w:kern w:val="24"/>
                          <w:sz w:val="16"/>
                          <w:szCs w:val="16"/>
                        </w:rPr>
                        <w:t>Jämför Behandling 1 med Behandling 2 (SE)</w:t>
                      </w:r>
                    </w:p>
                  </w:txbxContent>
                </v:textbox>
              </v:roundrect>
            </w:pict>
          </mc:Fallback>
        </mc:AlternateContent>
      </w:r>
    </w:p>
    <w:p w14:paraId="1D0CA56C" w14:textId="77777777" w:rsidR="00A86EFC" w:rsidRDefault="002D2E89" w:rsidP="008419C4">
      <w:r>
        <w:t xml:space="preserve">    </w:t>
      </w:r>
    </w:p>
    <w:p w14:paraId="0932DEA7" w14:textId="77777777" w:rsidR="008419C4" w:rsidRPr="00A86EFC" w:rsidRDefault="008419C4" w:rsidP="008419C4">
      <w:r w:rsidRPr="008419C4">
        <w:rPr>
          <w:b/>
          <w:sz w:val="16"/>
          <w:szCs w:val="16"/>
        </w:rPr>
        <w:t>Figur 1:</w:t>
      </w:r>
      <w:r w:rsidRPr="008419C4">
        <w:rPr>
          <w:sz w:val="16"/>
          <w:szCs w:val="16"/>
        </w:rPr>
        <w:t xml:space="preserve"> Jämförelsemodellen. Identifieringen av skillnaderna mellan DBD-processerna i Storbritannien och Sverige. Prognostiseringen av DCD-processen i Sverige baserad på Storbritanniens DCD-processen och de observerade skillnaderna.</w:t>
      </w:r>
    </w:p>
    <w:p w14:paraId="7F946BE7" w14:textId="77777777" w:rsidR="00786A1C" w:rsidRDefault="00050F0D" w:rsidP="008419C4">
      <w:r>
        <w:t xml:space="preserve">En prognos av en potentiell DCD-process kan göras genom att studera den brittiska DCD-processen. Skillnaden mellan båda ländernas DCD-processer bör vara av samma storleksordning som skillnaden mellan ländernas DBD-processer. Antagandet om att skillnaderna i DBD-processer kan överföras på skillnaderna mellan DCD-processerna baseras på jämförelser mellan DBD/DCD-processerna i Storbritannien och fyra andra länder (Spanien, Frankrike, USA och Canada) som utnyttjar båda donationsprocesser. </w:t>
      </w:r>
    </w:p>
    <w:p w14:paraId="7BFC88CE" w14:textId="77777777" w:rsidR="008B78FC" w:rsidRDefault="00786A1C" w:rsidP="008419C4">
      <w:r>
        <w:t xml:space="preserve">Vi vet från statistiken hur stor andel av patienterna </w:t>
      </w:r>
      <w:r w:rsidR="008D5D90">
        <w:t xml:space="preserve">som </w:t>
      </w:r>
      <w:r>
        <w:t xml:space="preserve">behandlas med de olika dialysbehandlingarna och med transplantation, det vill säga hur patienterna i Behandling 1 fördelar sig mellan HD, PD och Tx. Vid utökningen med transplantationer med DCD-donerade njurar, det vill säga Behandling 2, gör vi antagandet att patienterna tas från grupperna av patienter som annars skulle ha fått dialysbehandlingar. </w:t>
      </w:r>
      <w:r w:rsidR="00050F0D">
        <w:t xml:space="preserve"> </w:t>
      </w:r>
      <w:r>
        <w:t>Vi antar i prognosen att förhållandet mellan DBD- och DCD-donerade njurar är såsom de</w:t>
      </w:r>
      <w:r w:rsidR="00C87E17">
        <w:t>t</w:t>
      </w:r>
      <w:r>
        <w:t xml:space="preserve"> i Storbritannien. </w:t>
      </w:r>
      <w:r w:rsidR="008B78FC">
        <w:t xml:space="preserve">Det kan argumenteras att antagandet inte nödvändigtvis representerar det framtida svenska förhållandet med DBD- och DCD-donationer, men i brist på tillförlitliga data om detta förhållandet väljer vi att anta att likheterna mellan Storbritannien och Sverige även avspeglas i donationstyperna. </w:t>
      </w:r>
    </w:p>
    <w:p w14:paraId="22194BD6" w14:textId="27E5D278" w:rsidR="0059700E" w:rsidRDefault="008B78FC" w:rsidP="008B78FC">
      <w:r>
        <w:t>Vi är intresserad av långtidseffekterna av Behandling 2 och har därför valt att följa de fiktiva patientgrupperna (HD, PD och Tx) över en tioårsperiod, med mätpunkter åren 0</w:t>
      </w:r>
      <w:r w:rsidR="00C87E17">
        <w:t xml:space="preserve"> (transplantationsåret)</w:t>
      </w:r>
      <w:r>
        <w:t xml:space="preserve">, 1, 2, 5 och 10. Vid varje tid uppdateras behandlingens kostnader, patientgruppens QALY, patientöverlevnad, och förväntade produktivitet.  Antalet levande patienter uppdateras vid varje mätpunkt.  </w:t>
      </w:r>
    </w:p>
    <w:p w14:paraId="3F7F141A" w14:textId="77777777" w:rsidR="0059700E" w:rsidRDefault="0059700E" w:rsidP="008B78FC">
      <w:r>
        <w:rPr>
          <w:noProof/>
          <w:lang w:eastAsia="sv-SE"/>
        </w:rPr>
        <w:drawing>
          <wp:inline distT="0" distB="0" distL="0" distR="0" wp14:anchorId="7FBB5C27" wp14:editId="51CB4E1C">
            <wp:extent cx="5747258" cy="31146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lllen.jpg"/>
                    <pic:cNvPicPr/>
                  </pic:nvPicPr>
                  <pic:blipFill>
                    <a:blip r:embed="rId9">
                      <a:extLst>
                        <a:ext uri="{28A0092B-C50C-407E-A947-70E740481C1C}">
                          <a14:useLocalDpi xmlns:a14="http://schemas.microsoft.com/office/drawing/2010/main" val="0"/>
                        </a:ext>
                      </a:extLst>
                    </a:blip>
                    <a:stretch>
                      <a:fillRect/>
                    </a:stretch>
                  </pic:blipFill>
                  <pic:spPr>
                    <a:xfrm>
                      <a:off x="0" y="0"/>
                      <a:ext cx="5764608" cy="3124077"/>
                    </a:xfrm>
                    <a:prstGeom prst="rect">
                      <a:avLst/>
                    </a:prstGeom>
                  </pic:spPr>
                </pic:pic>
              </a:graphicData>
            </a:graphic>
          </wp:inline>
        </w:drawing>
      </w:r>
    </w:p>
    <w:p w14:paraId="09330E9A" w14:textId="77777777" w:rsidR="0059700E" w:rsidRPr="0059700E" w:rsidRDefault="0059700E" w:rsidP="008B78FC">
      <w:pPr>
        <w:rPr>
          <w:sz w:val="16"/>
          <w:szCs w:val="16"/>
        </w:rPr>
      </w:pPr>
      <w:r w:rsidRPr="0059700E">
        <w:rPr>
          <w:b/>
          <w:sz w:val="16"/>
          <w:szCs w:val="16"/>
        </w:rPr>
        <w:t>Figur 2</w:t>
      </w:r>
      <w:r w:rsidRPr="0059700E">
        <w:rPr>
          <w:sz w:val="16"/>
          <w:szCs w:val="16"/>
        </w:rPr>
        <w:t>: jämförelse mellan Behandling 1 och Behandling 2. Den ursprungliga patientpopulationen fördelas (enligt empiriska data i Behandling 1 och prognos i Behandling 2) mellan de olika behandlingsformerna. I varje steg tas hänsyn till patientöverlevnaden. Totala antalet QALY och kostnader beräknas i varje steg fram till det tionde året.</w:t>
      </w:r>
    </w:p>
    <w:p w14:paraId="06C3E5AB" w14:textId="77777777" w:rsidR="00E0585F" w:rsidRPr="0059700E" w:rsidRDefault="00E0585F" w:rsidP="00E0585F">
      <w:pPr>
        <w:pStyle w:val="Rubrik2"/>
        <w:rPr>
          <w:color w:val="FF0000"/>
        </w:rPr>
      </w:pPr>
      <w:bookmarkStart w:id="3" w:name="_Toc474824361"/>
      <w:r w:rsidRPr="0059700E">
        <w:rPr>
          <w:color w:val="FF0000"/>
        </w:rPr>
        <w:t>Antaganden</w:t>
      </w:r>
      <w:r w:rsidR="008419C4" w:rsidRPr="0059700E">
        <w:rPr>
          <w:color w:val="FF0000"/>
        </w:rPr>
        <w:t xml:space="preserve"> och avgränsningar</w:t>
      </w:r>
      <w:bookmarkEnd w:id="3"/>
    </w:p>
    <w:p w14:paraId="244E7BAF" w14:textId="68FD0FA9" w:rsidR="0059700E" w:rsidRPr="008419C4" w:rsidRDefault="008B78FC" w:rsidP="008419C4">
      <w:r>
        <w:t xml:space="preserve">I detta avsnitt redogör vi för antaganden gjorda vad avser kostnader, QALY, patientöverlevnad för patienter i olika behandlingsformer och produktivitet. </w:t>
      </w:r>
      <w:r w:rsidR="00F23D7D">
        <w:t xml:space="preserve">En fullständig utredning skulle även kunna innehålla vinster för patienternas anhöriga. Vi vet till exempel att vissa patienter kräver mycket hjälp från sina anhöriga som på grund av detta behöver avstå från en del av sin </w:t>
      </w:r>
      <w:r w:rsidR="008D5D90">
        <w:t>försörjning</w:t>
      </w:r>
      <w:r w:rsidR="00F23D7D">
        <w:t>. Detta innebär förluster i form av skatteintäkter som i en idealisk modell borde tas med i beräkningen. Det är dock notoriskt svårt att kartlägga omfattningen av den hjälp som anhöriga ger patienterna och därmed att kvantifiera de ekonomi</w:t>
      </w:r>
      <w:r w:rsidR="008F6706">
        <w:t xml:space="preserve">ska följderna av detta fenomen. I vissa undersökningar är detta möjligt eftersom behandlingen testas, vilket inte är fallet i detta fall. Vi utelämnar detta från denna hälsoekonomiska analys. </w:t>
      </w:r>
    </w:p>
    <w:p w14:paraId="71EBA2A4" w14:textId="77777777" w:rsidR="00E0585F" w:rsidRDefault="00D75898" w:rsidP="00D75898">
      <w:pPr>
        <w:pStyle w:val="Rubrik3"/>
        <w:rPr>
          <w:color w:val="FF0000"/>
        </w:rPr>
      </w:pPr>
      <w:bookmarkStart w:id="4" w:name="_Toc474824362"/>
      <w:r w:rsidRPr="0059700E">
        <w:rPr>
          <w:color w:val="FF0000"/>
        </w:rPr>
        <w:t>Kostnader</w:t>
      </w:r>
      <w:bookmarkEnd w:id="4"/>
    </w:p>
    <w:p w14:paraId="77CB6503" w14:textId="4F4EAC72" w:rsidR="004D2A53" w:rsidRDefault="004D2A53" w:rsidP="004D2A53">
      <w:r>
        <w:t xml:space="preserve">För en rättvis bild av transplantationskostnaderna behöver vi dels se hur de direkta vårdkostnaderna ser ut för de olika behandlingsformerna, dels ta hänsyn till kostnader som tillkommer före transplantationen äger rum. Vi har, från SOU 2915:84, en uppskattning av vårdkostnaderna för dialyspatienter och för transplanterade patienter. I rapporten görs ingen skillnad mellan haemodialys och peritonealdialys och kostnaderna anges som en median beräknad på historiska data. I </w:t>
      </w:r>
      <w:r w:rsidR="008D5D90">
        <w:t xml:space="preserve">denna </w:t>
      </w:r>
      <w:r>
        <w:t>uppskattning beräknas dialyskostnader vara 456 815 kr per år. Författaren påpekar dock att det inte är en rättvis bild av kostnaderna eftersom patienterna åldras och insjuknar i njursviktsrelaterade sjukdomar och att det därmed är nödvändigt att inkludera vårdkostnaderna relaterad</w:t>
      </w:r>
      <w:r w:rsidR="008D5D90">
        <w:t>e</w:t>
      </w:r>
      <w:r>
        <w:t xml:space="preserve"> till den primära diagnosen. Detta gäller även transplanterade patienter. Utöver de Immunosuppressiva läkemedlen de kan behöva</w:t>
      </w:r>
      <w:r w:rsidR="008D5D90">
        <w:t>,</w:t>
      </w:r>
      <w:r>
        <w:t xml:space="preserve"> tillkommer andra åkommor och ett åldrande som måste inkluderas i kostnaderna.</w:t>
      </w:r>
    </w:p>
    <w:p w14:paraId="50EF129C" w14:textId="183A7A64" w:rsidR="004D2A53" w:rsidRPr="004D2A53" w:rsidRDefault="004D2A53" w:rsidP="004D2A53">
      <w:r>
        <w:t xml:space="preserve">Vi måste även ta hänsyn till kostnaderna som tillkommer i och med DCD-processen före en transplantation. Dessa inkluderar den tid, material och personal som krävs från den stund en potentiell donator </w:t>
      </w:r>
      <w:r w:rsidR="008D5D90">
        <w:t xml:space="preserve">identifieras </w:t>
      </w:r>
      <w:r w:rsidR="00533B0F">
        <w:t>tills transplantationen sker. Processerna är olika långa beroende på donatorn.</w:t>
      </w:r>
      <w:r>
        <w:t xml:space="preserve">     </w:t>
      </w:r>
    </w:p>
    <w:p w14:paraId="7EA9C183" w14:textId="77777777" w:rsidR="00CA0A47" w:rsidRPr="00CA0A47" w:rsidRDefault="00CA0A47" w:rsidP="00CA0A47">
      <w:pPr>
        <w:pStyle w:val="Rubrik4"/>
      </w:pPr>
      <w:r w:rsidRPr="00CA0A47">
        <w:rPr>
          <w:color w:val="FF0000"/>
        </w:rPr>
        <w:t>Sjukvårdskostnader</w:t>
      </w:r>
    </w:p>
    <w:p w14:paraId="5171AC6F" w14:textId="1676142A" w:rsidR="008F6706" w:rsidRDefault="0059700E" w:rsidP="0059700E">
      <w:r>
        <w:t xml:space="preserve">I SOU 2015:84 ges en utförlig redogörelse för behandlingskostnaderna för dialys- och transplanterade patienter. </w:t>
      </w:r>
      <w:r w:rsidRPr="0059700E">
        <w:t xml:space="preserve">Dels finns en uppskattning av direkta kostnader (Behandlingens kostnad), dels direkta kostnader justerade med kostnader som kan kopplas till </w:t>
      </w:r>
      <w:r>
        <w:t>patientens hälso</w:t>
      </w:r>
      <w:r w:rsidRPr="0059700E">
        <w:t>tillstå</w:t>
      </w:r>
      <w:r>
        <w:t>nd</w:t>
      </w:r>
      <w:r w:rsidRPr="0059700E">
        <w:t xml:space="preserve"> och ålder. </w:t>
      </w:r>
      <w:r w:rsidR="008F6706">
        <w:t>Kostnaderna uppskattas tio år före och efter året då transplantationen sker, om denna äger rum. För den grupp som inte omfattas av transplantationsprocessen uppskattas kostnaderna för den fortsatta dialysvården. I</w:t>
      </w:r>
      <w:r>
        <w:t xml:space="preserve"> samma utredning görs ingen skillnad mellan kostnaderna för haemodialys och peritonealdialys och i stället ges mediankostnaden för dialys. </w:t>
      </w:r>
    </w:p>
    <w:tbl>
      <w:tblPr>
        <w:tblW w:w="8733" w:type="dxa"/>
        <w:jc w:val="center"/>
        <w:tblCellMar>
          <w:left w:w="70" w:type="dxa"/>
          <w:right w:w="70" w:type="dxa"/>
        </w:tblCellMar>
        <w:tblLook w:val="04A0" w:firstRow="1" w:lastRow="0" w:firstColumn="1" w:lastColumn="0" w:noHBand="0" w:noVBand="1"/>
      </w:tblPr>
      <w:tblGrid>
        <w:gridCol w:w="1986"/>
        <w:gridCol w:w="2167"/>
        <w:gridCol w:w="2380"/>
        <w:gridCol w:w="2200"/>
      </w:tblGrid>
      <w:tr w:rsidR="0059700E" w:rsidRPr="0059700E" w14:paraId="48245199" w14:textId="77777777" w:rsidTr="0059700E">
        <w:trPr>
          <w:trHeight w:val="863"/>
          <w:jc w:val="center"/>
        </w:trPr>
        <w:tc>
          <w:tcPr>
            <w:tcW w:w="1986" w:type="dxa"/>
            <w:tcBorders>
              <w:top w:val="single" w:sz="4" w:space="0" w:color="auto"/>
              <w:left w:val="nil"/>
              <w:bottom w:val="single" w:sz="8" w:space="0" w:color="auto"/>
              <w:right w:val="nil"/>
            </w:tcBorders>
            <w:shd w:val="clear" w:color="000000" w:fill="FFFFFF"/>
            <w:noWrap/>
            <w:vAlign w:val="bottom"/>
            <w:hideMark/>
          </w:tcPr>
          <w:p w14:paraId="10F10341"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Å</w:t>
            </w:r>
            <w:r w:rsidRPr="0059700E">
              <w:rPr>
                <w:rFonts w:ascii="Calibri" w:eastAsia="Times New Roman" w:hAnsi="Calibri" w:cs="Calibri"/>
                <w:b/>
                <w:color w:val="000000"/>
                <w:sz w:val="18"/>
                <w:szCs w:val="18"/>
              </w:rPr>
              <w:t>r</w:t>
            </w:r>
            <w:r w:rsidRPr="00F23D7D">
              <w:rPr>
                <w:rFonts w:ascii="Calibri" w:eastAsia="Times New Roman" w:hAnsi="Calibri" w:cs="Calibri"/>
                <w:b/>
                <w:color w:val="000000"/>
                <w:sz w:val="18"/>
                <w:szCs w:val="18"/>
              </w:rPr>
              <w:t xml:space="preserve"> efter start av uremivård</w:t>
            </w:r>
          </w:p>
        </w:tc>
        <w:tc>
          <w:tcPr>
            <w:tcW w:w="2167" w:type="dxa"/>
            <w:tcBorders>
              <w:top w:val="single" w:sz="4" w:space="0" w:color="auto"/>
              <w:left w:val="nil"/>
              <w:bottom w:val="single" w:sz="8" w:space="0" w:color="auto"/>
              <w:right w:val="nil"/>
            </w:tcBorders>
            <w:shd w:val="clear" w:color="000000" w:fill="FFFFFF"/>
            <w:vAlign w:val="bottom"/>
            <w:hideMark/>
          </w:tcPr>
          <w:p w14:paraId="0916A1CB"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59700E">
              <w:rPr>
                <w:rFonts w:ascii="Calibri" w:eastAsia="Times New Roman" w:hAnsi="Calibri" w:cs="Calibri"/>
                <w:b/>
                <w:color w:val="000000"/>
                <w:sz w:val="18"/>
                <w:szCs w:val="18"/>
              </w:rPr>
              <w:t>behandlings- och indirekta kostnader (Tx)</w:t>
            </w:r>
          </w:p>
        </w:tc>
        <w:tc>
          <w:tcPr>
            <w:tcW w:w="2380" w:type="dxa"/>
            <w:tcBorders>
              <w:top w:val="single" w:sz="4" w:space="0" w:color="auto"/>
              <w:left w:val="nil"/>
              <w:bottom w:val="single" w:sz="8" w:space="0" w:color="auto"/>
              <w:right w:val="nil"/>
            </w:tcBorders>
            <w:shd w:val="clear" w:color="000000" w:fill="FFFFFF"/>
            <w:vAlign w:val="bottom"/>
            <w:hideMark/>
          </w:tcPr>
          <w:p w14:paraId="44499FAB"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59700E">
              <w:rPr>
                <w:rFonts w:ascii="Calibri" w:eastAsia="Times New Roman" w:hAnsi="Calibri" w:cs="Calibri"/>
                <w:b/>
                <w:color w:val="000000"/>
                <w:sz w:val="18"/>
                <w:szCs w:val="18"/>
              </w:rPr>
              <w:t>Behandlingskostnader (Dialys)</w:t>
            </w:r>
          </w:p>
        </w:tc>
        <w:tc>
          <w:tcPr>
            <w:tcW w:w="2200" w:type="dxa"/>
            <w:tcBorders>
              <w:top w:val="single" w:sz="4" w:space="0" w:color="auto"/>
              <w:left w:val="nil"/>
              <w:bottom w:val="single" w:sz="8" w:space="0" w:color="auto"/>
              <w:right w:val="nil"/>
            </w:tcBorders>
            <w:shd w:val="clear" w:color="000000" w:fill="FFFFFF"/>
            <w:vAlign w:val="bottom"/>
            <w:hideMark/>
          </w:tcPr>
          <w:p w14:paraId="577F426E"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59700E">
              <w:rPr>
                <w:rFonts w:ascii="Calibri" w:eastAsia="Times New Roman" w:hAnsi="Calibri" w:cs="Calibri"/>
                <w:b/>
                <w:color w:val="000000"/>
                <w:sz w:val="18"/>
                <w:szCs w:val="18"/>
              </w:rPr>
              <w:t>Behandlings</w:t>
            </w:r>
            <w:r w:rsidRPr="00F23D7D">
              <w:rPr>
                <w:rFonts w:ascii="Calibri" w:eastAsia="Times New Roman" w:hAnsi="Calibri" w:cs="Calibri"/>
                <w:b/>
                <w:color w:val="000000"/>
                <w:sz w:val="18"/>
                <w:szCs w:val="18"/>
              </w:rPr>
              <w:t>-</w:t>
            </w:r>
            <w:r w:rsidRPr="0059700E">
              <w:rPr>
                <w:rFonts w:ascii="Calibri" w:eastAsia="Times New Roman" w:hAnsi="Calibri" w:cs="Calibri"/>
                <w:b/>
                <w:color w:val="000000"/>
                <w:sz w:val="18"/>
                <w:szCs w:val="18"/>
              </w:rPr>
              <w:t xml:space="preserve"> och indirekta kostnader (Dialys)</w:t>
            </w:r>
          </w:p>
        </w:tc>
      </w:tr>
      <w:tr w:rsidR="0059700E" w:rsidRPr="0059700E" w14:paraId="6580A78B"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345B3A0B"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10</w:t>
            </w:r>
          </w:p>
        </w:tc>
        <w:tc>
          <w:tcPr>
            <w:tcW w:w="2167" w:type="dxa"/>
            <w:tcBorders>
              <w:top w:val="nil"/>
              <w:left w:val="nil"/>
              <w:bottom w:val="nil"/>
              <w:right w:val="nil"/>
            </w:tcBorders>
            <w:shd w:val="clear" w:color="000000" w:fill="FFFFFF"/>
            <w:noWrap/>
            <w:vAlign w:val="bottom"/>
            <w:hideMark/>
          </w:tcPr>
          <w:p w14:paraId="2ACE7B35"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544 526</w:t>
            </w:r>
          </w:p>
        </w:tc>
        <w:tc>
          <w:tcPr>
            <w:tcW w:w="2380" w:type="dxa"/>
            <w:tcBorders>
              <w:top w:val="nil"/>
              <w:left w:val="nil"/>
              <w:bottom w:val="nil"/>
              <w:right w:val="nil"/>
            </w:tcBorders>
            <w:shd w:val="clear" w:color="000000" w:fill="FFFFFF"/>
            <w:noWrap/>
            <w:vAlign w:val="bottom"/>
            <w:hideMark/>
          </w:tcPr>
          <w:p w14:paraId="4E597778"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594920EA"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641 810</w:t>
            </w:r>
          </w:p>
        </w:tc>
      </w:tr>
      <w:tr w:rsidR="0059700E" w:rsidRPr="0059700E" w14:paraId="04CFF512"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13A866FA"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1</w:t>
            </w:r>
          </w:p>
        </w:tc>
        <w:tc>
          <w:tcPr>
            <w:tcW w:w="2167" w:type="dxa"/>
            <w:tcBorders>
              <w:top w:val="nil"/>
              <w:left w:val="nil"/>
              <w:bottom w:val="nil"/>
              <w:right w:val="nil"/>
            </w:tcBorders>
            <w:shd w:val="clear" w:color="000000" w:fill="FFFFFF"/>
            <w:noWrap/>
            <w:vAlign w:val="bottom"/>
            <w:hideMark/>
          </w:tcPr>
          <w:p w14:paraId="3E833261"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103</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928</w:t>
            </w:r>
          </w:p>
        </w:tc>
        <w:tc>
          <w:tcPr>
            <w:tcW w:w="2380" w:type="dxa"/>
            <w:tcBorders>
              <w:top w:val="nil"/>
              <w:left w:val="nil"/>
              <w:bottom w:val="nil"/>
              <w:right w:val="nil"/>
            </w:tcBorders>
            <w:shd w:val="clear" w:color="000000" w:fill="FFFFFF"/>
            <w:noWrap/>
            <w:vAlign w:val="bottom"/>
            <w:hideMark/>
          </w:tcPr>
          <w:p w14:paraId="4A30777F"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40652F2F"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626 287</w:t>
            </w:r>
          </w:p>
        </w:tc>
      </w:tr>
      <w:tr w:rsidR="0059700E" w:rsidRPr="0059700E" w14:paraId="37D26232"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38F96298"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2</w:t>
            </w:r>
          </w:p>
        </w:tc>
        <w:tc>
          <w:tcPr>
            <w:tcW w:w="2167" w:type="dxa"/>
            <w:tcBorders>
              <w:top w:val="nil"/>
              <w:left w:val="nil"/>
              <w:bottom w:val="nil"/>
              <w:right w:val="nil"/>
            </w:tcBorders>
            <w:shd w:val="clear" w:color="000000" w:fill="FFFFFF"/>
            <w:noWrap/>
            <w:vAlign w:val="bottom"/>
            <w:hideMark/>
          </w:tcPr>
          <w:p w14:paraId="52483DC1"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98</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000</w:t>
            </w:r>
          </w:p>
        </w:tc>
        <w:tc>
          <w:tcPr>
            <w:tcW w:w="2380" w:type="dxa"/>
            <w:tcBorders>
              <w:top w:val="nil"/>
              <w:left w:val="nil"/>
              <w:bottom w:val="nil"/>
              <w:right w:val="nil"/>
            </w:tcBorders>
            <w:shd w:val="clear" w:color="000000" w:fill="FFFFFF"/>
            <w:noWrap/>
            <w:vAlign w:val="bottom"/>
            <w:hideMark/>
          </w:tcPr>
          <w:p w14:paraId="3875FB77"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213CE2B8"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647 900</w:t>
            </w:r>
          </w:p>
        </w:tc>
      </w:tr>
      <w:tr w:rsidR="0059700E" w:rsidRPr="0059700E" w14:paraId="6593E194"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1D0DD83B"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3</w:t>
            </w:r>
          </w:p>
        </w:tc>
        <w:tc>
          <w:tcPr>
            <w:tcW w:w="2167" w:type="dxa"/>
            <w:tcBorders>
              <w:top w:val="nil"/>
              <w:left w:val="nil"/>
              <w:bottom w:val="nil"/>
              <w:right w:val="nil"/>
            </w:tcBorders>
            <w:shd w:val="clear" w:color="000000" w:fill="FFFFFF"/>
            <w:noWrap/>
            <w:vAlign w:val="bottom"/>
            <w:hideMark/>
          </w:tcPr>
          <w:p w14:paraId="372D0E86"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99</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157</w:t>
            </w:r>
          </w:p>
        </w:tc>
        <w:tc>
          <w:tcPr>
            <w:tcW w:w="2380" w:type="dxa"/>
            <w:tcBorders>
              <w:top w:val="nil"/>
              <w:left w:val="nil"/>
              <w:bottom w:val="nil"/>
              <w:right w:val="nil"/>
            </w:tcBorders>
            <w:shd w:val="clear" w:color="000000" w:fill="FFFFFF"/>
            <w:noWrap/>
            <w:vAlign w:val="bottom"/>
            <w:hideMark/>
          </w:tcPr>
          <w:p w14:paraId="56930245"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60CAF7DE"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674 624</w:t>
            </w:r>
          </w:p>
        </w:tc>
      </w:tr>
      <w:tr w:rsidR="0059700E" w:rsidRPr="0059700E" w14:paraId="04579D63"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7541D41D"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4</w:t>
            </w:r>
          </w:p>
        </w:tc>
        <w:tc>
          <w:tcPr>
            <w:tcW w:w="2167" w:type="dxa"/>
            <w:tcBorders>
              <w:top w:val="nil"/>
              <w:left w:val="nil"/>
              <w:bottom w:val="nil"/>
              <w:right w:val="nil"/>
            </w:tcBorders>
            <w:shd w:val="clear" w:color="000000" w:fill="FFFFFF"/>
            <w:noWrap/>
            <w:vAlign w:val="bottom"/>
            <w:hideMark/>
          </w:tcPr>
          <w:p w14:paraId="79734535"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103</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050</w:t>
            </w:r>
          </w:p>
        </w:tc>
        <w:tc>
          <w:tcPr>
            <w:tcW w:w="2380" w:type="dxa"/>
            <w:tcBorders>
              <w:top w:val="nil"/>
              <w:left w:val="nil"/>
              <w:bottom w:val="nil"/>
              <w:right w:val="nil"/>
            </w:tcBorders>
            <w:shd w:val="clear" w:color="000000" w:fill="FFFFFF"/>
            <w:noWrap/>
            <w:vAlign w:val="bottom"/>
            <w:hideMark/>
          </w:tcPr>
          <w:p w14:paraId="5632F904"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7C87E48B"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684 435</w:t>
            </w:r>
          </w:p>
        </w:tc>
      </w:tr>
      <w:tr w:rsidR="0059700E" w:rsidRPr="0059700E" w14:paraId="2ABF1FD9"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303DA03B"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15</w:t>
            </w:r>
          </w:p>
        </w:tc>
        <w:tc>
          <w:tcPr>
            <w:tcW w:w="2167" w:type="dxa"/>
            <w:tcBorders>
              <w:top w:val="nil"/>
              <w:left w:val="nil"/>
              <w:bottom w:val="nil"/>
              <w:right w:val="nil"/>
            </w:tcBorders>
            <w:shd w:val="clear" w:color="000000" w:fill="FFFFFF"/>
            <w:noWrap/>
            <w:vAlign w:val="bottom"/>
            <w:hideMark/>
          </w:tcPr>
          <w:p w14:paraId="4738B2ED"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112</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033</w:t>
            </w:r>
          </w:p>
        </w:tc>
        <w:tc>
          <w:tcPr>
            <w:tcW w:w="2380" w:type="dxa"/>
            <w:tcBorders>
              <w:top w:val="nil"/>
              <w:left w:val="nil"/>
              <w:bottom w:val="nil"/>
              <w:right w:val="nil"/>
            </w:tcBorders>
            <w:shd w:val="clear" w:color="000000" w:fill="FFFFFF"/>
            <w:noWrap/>
            <w:vAlign w:val="bottom"/>
            <w:hideMark/>
          </w:tcPr>
          <w:p w14:paraId="6535107A"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3FC6051E"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692 340</w:t>
            </w:r>
          </w:p>
        </w:tc>
      </w:tr>
      <w:tr w:rsidR="0059700E" w:rsidRPr="0059700E" w14:paraId="5B710A79" w14:textId="77777777" w:rsidTr="0059700E">
        <w:trPr>
          <w:trHeight w:val="293"/>
          <w:jc w:val="center"/>
        </w:trPr>
        <w:tc>
          <w:tcPr>
            <w:tcW w:w="1986" w:type="dxa"/>
            <w:tcBorders>
              <w:top w:val="nil"/>
              <w:left w:val="nil"/>
              <w:bottom w:val="nil"/>
              <w:right w:val="nil"/>
            </w:tcBorders>
            <w:shd w:val="clear" w:color="000000" w:fill="FFFFFF"/>
            <w:noWrap/>
            <w:vAlign w:val="bottom"/>
            <w:hideMark/>
          </w:tcPr>
          <w:p w14:paraId="01359A68"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6</w:t>
            </w:r>
          </w:p>
        </w:tc>
        <w:tc>
          <w:tcPr>
            <w:tcW w:w="2167" w:type="dxa"/>
            <w:tcBorders>
              <w:top w:val="nil"/>
              <w:left w:val="nil"/>
              <w:bottom w:val="nil"/>
              <w:right w:val="nil"/>
            </w:tcBorders>
            <w:shd w:val="clear" w:color="000000" w:fill="FFFFFF"/>
            <w:noWrap/>
            <w:vAlign w:val="bottom"/>
            <w:hideMark/>
          </w:tcPr>
          <w:p w14:paraId="007141B4"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108</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626</w:t>
            </w:r>
          </w:p>
        </w:tc>
        <w:tc>
          <w:tcPr>
            <w:tcW w:w="2380" w:type="dxa"/>
            <w:tcBorders>
              <w:top w:val="nil"/>
              <w:left w:val="nil"/>
              <w:bottom w:val="nil"/>
              <w:right w:val="nil"/>
            </w:tcBorders>
            <w:shd w:val="clear" w:color="000000" w:fill="FFFFFF"/>
            <w:noWrap/>
            <w:vAlign w:val="bottom"/>
            <w:hideMark/>
          </w:tcPr>
          <w:p w14:paraId="13F25988"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53616BCA"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695 904</w:t>
            </w:r>
          </w:p>
        </w:tc>
      </w:tr>
      <w:tr w:rsidR="0059700E" w:rsidRPr="0059700E" w14:paraId="040752AA"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1AAB9D46"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7</w:t>
            </w:r>
          </w:p>
        </w:tc>
        <w:tc>
          <w:tcPr>
            <w:tcW w:w="2167" w:type="dxa"/>
            <w:tcBorders>
              <w:top w:val="nil"/>
              <w:left w:val="nil"/>
              <w:bottom w:val="nil"/>
              <w:right w:val="nil"/>
            </w:tcBorders>
            <w:shd w:val="clear" w:color="000000" w:fill="FFFFFF"/>
            <w:noWrap/>
            <w:vAlign w:val="bottom"/>
            <w:hideMark/>
          </w:tcPr>
          <w:p w14:paraId="44BD4DB0"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120</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207</w:t>
            </w:r>
          </w:p>
        </w:tc>
        <w:tc>
          <w:tcPr>
            <w:tcW w:w="2380" w:type="dxa"/>
            <w:tcBorders>
              <w:top w:val="nil"/>
              <w:left w:val="nil"/>
              <w:bottom w:val="nil"/>
              <w:right w:val="nil"/>
            </w:tcBorders>
            <w:shd w:val="clear" w:color="000000" w:fill="FFFFFF"/>
            <w:noWrap/>
            <w:vAlign w:val="bottom"/>
            <w:hideMark/>
          </w:tcPr>
          <w:p w14:paraId="2D5A28D0"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76DC7F2A"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733 534</w:t>
            </w:r>
          </w:p>
        </w:tc>
      </w:tr>
      <w:tr w:rsidR="0059700E" w:rsidRPr="0059700E" w14:paraId="2B5CE9F5"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27FB0685"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8</w:t>
            </w:r>
          </w:p>
        </w:tc>
        <w:tc>
          <w:tcPr>
            <w:tcW w:w="2167" w:type="dxa"/>
            <w:tcBorders>
              <w:top w:val="nil"/>
              <w:left w:val="nil"/>
              <w:bottom w:val="nil"/>
              <w:right w:val="nil"/>
            </w:tcBorders>
            <w:shd w:val="clear" w:color="000000" w:fill="FFFFFF"/>
            <w:noWrap/>
            <w:vAlign w:val="bottom"/>
            <w:hideMark/>
          </w:tcPr>
          <w:p w14:paraId="6435F016"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122</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548</w:t>
            </w:r>
          </w:p>
        </w:tc>
        <w:tc>
          <w:tcPr>
            <w:tcW w:w="2380" w:type="dxa"/>
            <w:tcBorders>
              <w:top w:val="nil"/>
              <w:left w:val="nil"/>
              <w:bottom w:val="nil"/>
              <w:right w:val="nil"/>
            </w:tcBorders>
            <w:shd w:val="clear" w:color="000000" w:fill="FFFFFF"/>
            <w:noWrap/>
            <w:vAlign w:val="bottom"/>
            <w:hideMark/>
          </w:tcPr>
          <w:p w14:paraId="044858AF"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667ED922"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694 590</w:t>
            </w:r>
          </w:p>
        </w:tc>
      </w:tr>
      <w:tr w:rsidR="0059700E" w:rsidRPr="0059700E" w14:paraId="322F9DF5" w14:textId="77777777" w:rsidTr="0059700E">
        <w:trPr>
          <w:trHeight w:val="285"/>
          <w:jc w:val="center"/>
        </w:trPr>
        <w:tc>
          <w:tcPr>
            <w:tcW w:w="1986" w:type="dxa"/>
            <w:tcBorders>
              <w:top w:val="nil"/>
              <w:left w:val="nil"/>
              <w:bottom w:val="nil"/>
              <w:right w:val="nil"/>
            </w:tcBorders>
            <w:shd w:val="clear" w:color="000000" w:fill="FFFFFF"/>
            <w:noWrap/>
            <w:vAlign w:val="bottom"/>
            <w:hideMark/>
          </w:tcPr>
          <w:p w14:paraId="26883878"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1</w:t>
            </w:r>
            <w:r w:rsidRPr="0059700E">
              <w:rPr>
                <w:rFonts w:ascii="Calibri" w:eastAsia="Times New Roman" w:hAnsi="Calibri" w:cs="Calibri"/>
                <w:b/>
                <w:color w:val="000000"/>
                <w:sz w:val="18"/>
                <w:szCs w:val="18"/>
              </w:rPr>
              <w:t>9</w:t>
            </w:r>
          </w:p>
        </w:tc>
        <w:tc>
          <w:tcPr>
            <w:tcW w:w="2167" w:type="dxa"/>
            <w:tcBorders>
              <w:top w:val="nil"/>
              <w:left w:val="nil"/>
              <w:bottom w:val="nil"/>
              <w:right w:val="nil"/>
            </w:tcBorders>
            <w:shd w:val="clear" w:color="000000" w:fill="FFFFFF"/>
            <w:noWrap/>
            <w:vAlign w:val="bottom"/>
            <w:hideMark/>
          </w:tcPr>
          <w:p w14:paraId="52EB0C9D"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146</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591</w:t>
            </w:r>
          </w:p>
        </w:tc>
        <w:tc>
          <w:tcPr>
            <w:tcW w:w="2380" w:type="dxa"/>
            <w:tcBorders>
              <w:top w:val="nil"/>
              <w:left w:val="nil"/>
              <w:bottom w:val="nil"/>
              <w:right w:val="nil"/>
            </w:tcBorders>
            <w:shd w:val="clear" w:color="000000" w:fill="FFFFFF"/>
            <w:noWrap/>
            <w:vAlign w:val="bottom"/>
            <w:hideMark/>
          </w:tcPr>
          <w:p w14:paraId="1E4FC5A5"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nil"/>
              <w:right w:val="nil"/>
            </w:tcBorders>
            <w:shd w:val="clear" w:color="000000" w:fill="FFFFFF"/>
            <w:noWrap/>
            <w:vAlign w:val="bottom"/>
            <w:hideMark/>
          </w:tcPr>
          <w:p w14:paraId="755DFFEA"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737 699</w:t>
            </w:r>
          </w:p>
        </w:tc>
      </w:tr>
      <w:tr w:rsidR="0059700E" w:rsidRPr="0059700E" w14:paraId="1D2F8286" w14:textId="77777777" w:rsidTr="0059700E">
        <w:trPr>
          <w:trHeight w:val="293"/>
          <w:jc w:val="center"/>
        </w:trPr>
        <w:tc>
          <w:tcPr>
            <w:tcW w:w="1986" w:type="dxa"/>
            <w:tcBorders>
              <w:top w:val="nil"/>
              <w:left w:val="nil"/>
              <w:bottom w:val="single" w:sz="8" w:space="0" w:color="auto"/>
              <w:right w:val="nil"/>
            </w:tcBorders>
            <w:shd w:val="clear" w:color="000000" w:fill="FFFFFF"/>
            <w:noWrap/>
            <w:vAlign w:val="bottom"/>
            <w:hideMark/>
          </w:tcPr>
          <w:p w14:paraId="67CB93D9" w14:textId="77777777" w:rsidR="0059700E" w:rsidRPr="0059700E" w:rsidRDefault="0059700E" w:rsidP="00543199">
            <w:pPr>
              <w:spacing w:after="0" w:line="240" w:lineRule="auto"/>
              <w:jc w:val="center"/>
              <w:rPr>
                <w:rFonts w:ascii="Calibri" w:eastAsia="Times New Roman" w:hAnsi="Calibri" w:cs="Calibri"/>
                <w:b/>
                <w:color w:val="000000"/>
                <w:sz w:val="18"/>
                <w:szCs w:val="18"/>
              </w:rPr>
            </w:pPr>
            <w:r w:rsidRPr="00F23D7D">
              <w:rPr>
                <w:rFonts w:ascii="Calibri" w:eastAsia="Times New Roman" w:hAnsi="Calibri" w:cs="Calibri"/>
                <w:b/>
                <w:color w:val="000000"/>
                <w:sz w:val="18"/>
                <w:szCs w:val="18"/>
              </w:rPr>
              <w:t>2</w:t>
            </w:r>
            <w:r w:rsidRPr="0059700E">
              <w:rPr>
                <w:rFonts w:ascii="Calibri" w:eastAsia="Times New Roman" w:hAnsi="Calibri" w:cs="Calibri"/>
                <w:b/>
                <w:color w:val="000000"/>
                <w:sz w:val="18"/>
                <w:szCs w:val="18"/>
              </w:rPr>
              <w:t>0</w:t>
            </w:r>
          </w:p>
        </w:tc>
        <w:tc>
          <w:tcPr>
            <w:tcW w:w="2167" w:type="dxa"/>
            <w:tcBorders>
              <w:top w:val="nil"/>
              <w:left w:val="nil"/>
              <w:bottom w:val="single" w:sz="8" w:space="0" w:color="auto"/>
              <w:right w:val="nil"/>
            </w:tcBorders>
            <w:shd w:val="clear" w:color="000000" w:fill="FFFFFF"/>
            <w:noWrap/>
            <w:vAlign w:val="bottom"/>
            <w:hideMark/>
          </w:tcPr>
          <w:p w14:paraId="07F3CF7E"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155</w:t>
            </w:r>
            <w:r>
              <w:rPr>
                <w:rFonts w:ascii="Calibri" w:eastAsia="Times New Roman" w:hAnsi="Calibri" w:cs="Calibri"/>
                <w:color w:val="000000"/>
                <w:sz w:val="18"/>
                <w:szCs w:val="18"/>
              </w:rPr>
              <w:t xml:space="preserve"> </w:t>
            </w:r>
            <w:r w:rsidRPr="0059700E">
              <w:rPr>
                <w:rFonts w:ascii="Calibri" w:eastAsia="Times New Roman" w:hAnsi="Calibri" w:cs="Calibri"/>
                <w:color w:val="000000"/>
                <w:sz w:val="18"/>
                <w:szCs w:val="18"/>
              </w:rPr>
              <w:t>250</w:t>
            </w:r>
          </w:p>
        </w:tc>
        <w:tc>
          <w:tcPr>
            <w:tcW w:w="2380" w:type="dxa"/>
            <w:tcBorders>
              <w:top w:val="nil"/>
              <w:left w:val="nil"/>
              <w:bottom w:val="single" w:sz="8" w:space="0" w:color="auto"/>
              <w:right w:val="nil"/>
            </w:tcBorders>
            <w:shd w:val="clear" w:color="000000" w:fill="FFFFFF"/>
            <w:noWrap/>
            <w:vAlign w:val="bottom"/>
            <w:hideMark/>
          </w:tcPr>
          <w:p w14:paraId="2F6BB837"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456 815</w:t>
            </w:r>
          </w:p>
        </w:tc>
        <w:tc>
          <w:tcPr>
            <w:tcW w:w="2200" w:type="dxa"/>
            <w:tcBorders>
              <w:top w:val="nil"/>
              <w:left w:val="nil"/>
              <w:bottom w:val="single" w:sz="8" w:space="0" w:color="auto"/>
              <w:right w:val="nil"/>
            </w:tcBorders>
            <w:shd w:val="clear" w:color="000000" w:fill="FFFFFF"/>
            <w:noWrap/>
            <w:vAlign w:val="bottom"/>
            <w:hideMark/>
          </w:tcPr>
          <w:p w14:paraId="5286EC99" w14:textId="77777777" w:rsidR="0059700E" w:rsidRPr="0059700E" w:rsidRDefault="0059700E" w:rsidP="00543199">
            <w:pPr>
              <w:spacing w:after="0" w:line="240" w:lineRule="auto"/>
              <w:jc w:val="center"/>
              <w:rPr>
                <w:rFonts w:ascii="Calibri" w:eastAsia="Times New Roman" w:hAnsi="Calibri" w:cs="Calibri"/>
                <w:color w:val="000000"/>
                <w:sz w:val="18"/>
                <w:szCs w:val="18"/>
              </w:rPr>
            </w:pPr>
            <w:r w:rsidRPr="0059700E">
              <w:rPr>
                <w:rFonts w:ascii="Calibri" w:eastAsia="Times New Roman" w:hAnsi="Calibri" w:cs="Calibri"/>
                <w:color w:val="000000"/>
                <w:sz w:val="18"/>
                <w:szCs w:val="18"/>
              </w:rPr>
              <w:t>692 716</w:t>
            </w:r>
          </w:p>
        </w:tc>
      </w:tr>
    </w:tbl>
    <w:p w14:paraId="42AF1975" w14:textId="77777777" w:rsidR="0059700E" w:rsidRPr="0059700E" w:rsidRDefault="0059700E" w:rsidP="0059700E">
      <w:pPr>
        <w:rPr>
          <w:sz w:val="16"/>
          <w:szCs w:val="16"/>
        </w:rPr>
      </w:pPr>
      <w:r w:rsidRPr="0059700E">
        <w:rPr>
          <w:b/>
          <w:sz w:val="16"/>
          <w:szCs w:val="16"/>
        </w:rPr>
        <w:t>Tabell 1:</w:t>
      </w:r>
      <w:r w:rsidRPr="0059700E">
        <w:rPr>
          <w:sz w:val="16"/>
          <w:szCs w:val="16"/>
        </w:rPr>
        <w:t xml:space="preserve"> Kostnader 10–20 år efter start av uremivården. År 10 motsvarar året då transplantationen utförs om en sådan sker, annars beräknas kostnaderna för fortsatt dialysvård. Indirekta kostnader avser försämrad hälsa på grund av primära sjukdomen och åldrande.</w:t>
      </w:r>
    </w:p>
    <w:p w14:paraId="527081FB" w14:textId="77777777" w:rsidR="0059700E" w:rsidRDefault="00F23D7D" w:rsidP="0059700E">
      <w:r>
        <w:t xml:space="preserve">För en fullständig ekonomisk utredning måste alla kostnader associerade till behandlingen tas i beaktning. Därför måste kostnaderna före transplantation adderas till transplantationsårets kalkyl. </w:t>
      </w:r>
    </w:p>
    <w:p w14:paraId="41376A47" w14:textId="77777777" w:rsidR="00682F99" w:rsidRDefault="00682F99" w:rsidP="0059700E">
      <w:r>
        <w:rPr>
          <w:noProof/>
          <w:lang w:eastAsia="sv-SE"/>
        </w:rPr>
        <w:drawing>
          <wp:inline distT="0" distB="0" distL="0" distR="0" wp14:anchorId="7F807171" wp14:editId="7D8D041E">
            <wp:extent cx="5815757" cy="3054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4712" cy="3080701"/>
                    </a:xfrm>
                    <a:prstGeom prst="rect">
                      <a:avLst/>
                    </a:prstGeom>
                    <a:noFill/>
                  </pic:spPr>
                </pic:pic>
              </a:graphicData>
            </a:graphic>
          </wp:inline>
        </w:drawing>
      </w:r>
    </w:p>
    <w:p w14:paraId="05F4F572" w14:textId="77777777" w:rsidR="00CA0A47" w:rsidRPr="00A6590E" w:rsidRDefault="0072557C" w:rsidP="0059700E">
      <w:pPr>
        <w:rPr>
          <w:sz w:val="16"/>
          <w:szCs w:val="16"/>
        </w:rPr>
      </w:pPr>
      <w:r w:rsidRPr="0072557C">
        <w:rPr>
          <w:b/>
          <w:sz w:val="16"/>
          <w:szCs w:val="16"/>
        </w:rPr>
        <w:t>Figur 3:</w:t>
      </w:r>
      <w:r w:rsidRPr="0072557C">
        <w:rPr>
          <w:sz w:val="16"/>
          <w:szCs w:val="16"/>
        </w:rPr>
        <w:t xml:space="preserve"> Graf över kostnaderna 10 år före och efter transplantation (om en sådan sker, annars fortsatt dialysvård). Grafen visar även skillnaden i kostnader för de olika behandlingsformerna.</w:t>
      </w:r>
    </w:p>
    <w:p w14:paraId="2178CD1D" w14:textId="77777777" w:rsidR="00CA0A47" w:rsidRDefault="00CA0A47" w:rsidP="00CA0A47">
      <w:pPr>
        <w:pStyle w:val="Rubrik4"/>
        <w:rPr>
          <w:color w:val="FF0000"/>
        </w:rPr>
      </w:pPr>
      <w:r w:rsidRPr="00CA0A47">
        <w:rPr>
          <w:color w:val="FF0000"/>
        </w:rPr>
        <w:t>Kostnader för transplantation</w:t>
      </w:r>
    </w:p>
    <w:p w14:paraId="32619BF1" w14:textId="3A13C75B" w:rsidR="00543199" w:rsidRDefault="000801D4" w:rsidP="000801D4">
      <w:r>
        <w:t xml:space="preserve">För att den hälsoekonomiska utredningen ska vara fullständig måste </w:t>
      </w:r>
      <w:r w:rsidR="008D5D90">
        <w:t xml:space="preserve">hänsyn tas till </w:t>
      </w:r>
      <w:r>
        <w:t>alla kostnader associerade till DCD-processen. Detta innebär att vi måste även betrakta kostnader som till</w:t>
      </w:r>
      <w:r w:rsidR="00543199">
        <w:t xml:space="preserve">kommer före transplantationen, det vill säga donationskostnaderna. Brytpunkten för analysen av kostnaderna för en DCD-process är den stund då ett beslut om att avbryta den livsuppehållande behandlingen på intensivvårdsavdelningen </w:t>
      </w:r>
      <w:r w:rsidR="008D5D90">
        <w:t>tas</w:t>
      </w:r>
      <w:r w:rsidR="005004EE" w:rsidRPr="005004EE">
        <w:t xml:space="preserve"> </w:t>
      </w:r>
      <w:r w:rsidR="005004EE">
        <w:t>och minst två legitimerade läkare samrått om att vården inte längre gagnar patienten</w:t>
      </w:r>
      <w:r w:rsidR="00543199">
        <w:t xml:space="preserve">. Ett så kallat brytpunktsamtal äger rum där närstående informeras om beslutet. Efter att ansvariga läkare säkrat att närstående är införstådda med beslutet och bakgrunden till varför beslutet fattats kan ett nytt samtal genomföras där organdonation erbjudes som en del i vården i livets slutskede. Vi vet, från studier av donationsprocessen i Storbritannien, att processerna kan variera kraftigt i tid beroende på hur länge en potentiell donator överlever efter avslutad livsuppehållande behandling.  </w:t>
      </w:r>
    </w:p>
    <w:p w14:paraId="65A82E30" w14:textId="77777777" w:rsidR="000801D4" w:rsidRDefault="00543199" w:rsidP="000801D4">
      <w:r>
        <w:t>Det har uppskattats att en kortare DCD-process varar cirka 12 timmar medan en längre process kan vara upp till 17 timmar, samtidigt som en icke-genomförd process anses vara 10 timmar. I det senare fallet genomförs ingen transplantation. Skälen kan variera från att patienten inte avlider inom den tre timmarsgränsen som satts till att något oväntat fynd gjorts under donationsprocessen eller att närstående avbryter processen. De två sistnämnda skälen anses dock vara ovanliga</w:t>
      </w:r>
      <w:r w:rsidR="00E846C2">
        <w:t>.</w:t>
      </w:r>
    </w:p>
    <w:p w14:paraId="0000C5C7" w14:textId="77777777" w:rsidR="00E846C2" w:rsidRDefault="00E846C2" w:rsidP="000801D4">
      <w:r>
        <w:t>I samtliga fall innebär processen kostnader i form av personal (intensivvårdsläkare, intensivvårdssjuksköterska, undersköterska och donationskoordinator) och vårdresurser (intensivvårdsplats, operationssalar, medicinskteknisk utrustning, läkemedel). K</w:t>
      </w:r>
      <w:r w:rsidR="004574FF">
        <w:t xml:space="preserve">ostnaderna finns kategoriserade, bland annat på Södra Sjukvårdsregionens hemsida. </w:t>
      </w:r>
    </w:p>
    <w:p w14:paraId="38B00AB5" w14:textId="77777777" w:rsidR="00F0798B" w:rsidRPr="000801D4" w:rsidRDefault="004574FF" w:rsidP="000801D4">
      <w:r>
        <w:t>Det är viktigt att kunna avgöra hur stor andel av processerna kan anses vara korta eller långa.</w:t>
      </w:r>
      <w:r w:rsidR="00B5051A">
        <w:t xml:space="preserve"> Vi har sammanställt statistik från intensivvården över tiden från avslut av livsu</w:t>
      </w:r>
      <w:r w:rsidR="00F0798B">
        <w:t>ppehållande åtgärder till dess att patienter avlider. På detta sätt har vi kunnat urskilja tre scenarier, den ena då patienten avlider inom 30 minuter, ett medelscenario där patienter i intervallet 31—</w:t>
      </w:r>
      <w:r w:rsidR="00396328">
        <w:t>120</w:t>
      </w:r>
      <w:r w:rsidR="00F0798B">
        <w:t xml:space="preserve"> minuter och den sämsta där patient avlider i intervallet </w:t>
      </w:r>
      <w:r w:rsidR="00396328">
        <w:t>12</w:t>
      </w:r>
      <w:r w:rsidR="00F0798B">
        <w:t>1—1</w:t>
      </w:r>
      <w:r w:rsidR="00396328">
        <w:t>8</w:t>
      </w:r>
      <w:r w:rsidR="00F0798B">
        <w:t xml:space="preserve">0 minuter. </w:t>
      </w:r>
    </w:p>
    <w:tbl>
      <w:tblPr>
        <w:tblW w:w="7260" w:type="dxa"/>
        <w:jc w:val="center"/>
        <w:tblCellMar>
          <w:left w:w="70" w:type="dxa"/>
          <w:right w:w="70" w:type="dxa"/>
        </w:tblCellMar>
        <w:tblLook w:val="04A0" w:firstRow="1" w:lastRow="0" w:firstColumn="1" w:lastColumn="0" w:noHBand="0" w:noVBand="1"/>
      </w:tblPr>
      <w:tblGrid>
        <w:gridCol w:w="2340"/>
        <w:gridCol w:w="1760"/>
        <w:gridCol w:w="920"/>
        <w:gridCol w:w="2240"/>
      </w:tblGrid>
      <w:tr w:rsidR="00F0798B" w:rsidRPr="00F0798B" w14:paraId="7E8946E7" w14:textId="77777777" w:rsidTr="00F0798B">
        <w:trPr>
          <w:trHeight w:val="285"/>
          <w:jc w:val="center"/>
        </w:trPr>
        <w:tc>
          <w:tcPr>
            <w:tcW w:w="2340" w:type="dxa"/>
            <w:tcBorders>
              <w:top w:val="single" w:sz="4" w:space="0" w:color="auto"/>
              <w:left w:val="nil"/>
              <w:bottom w:val="nil"/>
              <w:right w:val="nil"/>
            </w:tcBorders>
            <w:shd w:val="clear" w:color="000000" w:fill="FFFFFF"/>
            <w:noWrap/>
            <w:vAlign w:val="bottom"/>
            <w:hideMark/>
          </w:tcPr>
          <w:p w14:paraId="54978A0F" w14:textId="77777777" w:rsidR="00F0798B" w:rsidRPr="00F0798B" w:rsidRDefault="00F0798B" w:rsidP="00F0798B">
            <w:pPr>
              <w:spacing w:after="0" w:line="240" w:lineRule="auto"/>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Tid till a</w:t>
            </w:r>
            <w:r w:rsidR="00396328" w:rsidRPr="00A502DE">
              <w:rPr>
                <w:rFonts w:ascii="Calibri" w:eastAsia="Times New Roman" w:hAnsi="Calibri" w:cs="Calibri"/>
                <w:b/>
                <w:bCs/>
                <w:color w:val="000000"/>
                <w:sz w:val="18"/>
                <w:szCs w:val="18"/>
              </w:rPr>
              <w:t>sys</w:t>
            </w:r>
            <w:r w:rsidRPr="00F0798B">
              <w:rPr>
                <w:rFonts w:ascii="Calibri" w:eastAsia="Times New Roman" w:hAnsi="Calibri" w:cs="Calibri"/>
                <w:b/>
                <w:bCs/>
                <w:color w:val="000000"/>
                <w:sz w:val="18"/>
                <w:szCs w:val="18"/>
              </w:rPr>
              <w:t>toli</w:t>
            </w:r>
          </w:p>
        </w:tc>
        <w:tc>
          <w:tcPr>
            <w:tcW w:w="1760" w:type="dxa"/>
            <w:tcBorders>
              <w:top w:val="single" w:sz="4" w:space="0" w:color="auto"/>
              <w:left w:val="nil"/>
              <w:bottom w:val="nil"/>
              <w:right w:val="nil"/>
            </w:tcBorders>
            <w:shd w:val="clear" w:color="000000" w:fill="FFFFFF"/>
            <w:noWrap/>
            <w:vAlign w:val="bottom"/>
            <w:hideMark/>
          </w:tcPr>
          <w:p w14:paraId="549853F0" w14:textId="77777777" w:rsidR="00F0798B" w:rsidRPr="00F0798B" w:rsidRDefault="00F0798B" w:rsidP="00F0798B">
            <w:pPr>
              <w:spacing w:after="0" w:line="240" w:lineRule="auto"/>
              <w:jc w:val="center"/>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Andel patienter</w:t>
            </w:r>
          </w:p>
        </w:tc>
        <w:tc>
          <w:tcPr>
            <w:tcW w:w="920" w:type="dxa"/>
            <w:tcBorders>
              <w:top w:val="single" w:sz="4" w:space="0" w:color="auto"/>
              <w:left w:val="nil"/>
              <w:bottom w:val="nil"/>
              <w:right w:val="nil"/>
            </w:tcBorders>
            <w:shd w:val="clear" w:color="000000" w:fill="FFFFFF"/>
            <w:noWrap/>
            <w:vAlign w:val="bottom"/>
            <w:hideMark/>
          </w:tcPr>
          <w:p w14:paraId="72D90D01" w14:textId="77777777" w:rsidR="00F0798B" w:rsidRPr="00F0798B" w:rsidRDefault="00F0798B" w:rsidP="00F0798B">
            <w:pPr>
              <w:spacing w:after="0" w:line="240" w:lineRule="auto"/>
              <w:jc w:val="center"/>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 xml:space="preserve">Utfall </w:t>
            </w:r>
          </w:p>
        </w:tc>
        <w:tc>
          <w:tcPr>
            <w:tcW w:w="2240" w:type="dxa"/>
            <w:tcBorders>
              <w:top w:val="single" w:sz="4" w:space="0" w:color="auto"/>
              <w:left w:val="nil"/>
              <w:bottom w:val="nil"/>
              <w:right w:val="nil"/>
            </w:tcBorders>
            <w:shd w:val="clear" w:color="000000" w:fill="FFFFFF"/>
            <w:noWrap/>
            <w:vAlign w:val="bottom"/>
            <w:hideMark/>
          </w:tcPr>
          <w:p w14:paraId="0BD4D202" w14:textId="77777777" w:rsidR="00F0798B" w:rsidRPr="00F0798B" w:rsidRDefault="00F0798B" w:rsidP="00396328">
            <w:pPr>
              <w:spacing w:after="0" w:line="240" w:lineRule="auto"/>
              <w:jc w:val="center"/>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Scenario</w:t>
            </w:r>
          </w:p>
        </w:tc>
      </w:tr>
      <w:tr w:rsidR="00F0798B" w:rsidRPr="00F0798B" w14:paraId="7B9A416D" w14:textId="77777777" w:rsidTr="00F0798B">
        <w:trPr>
          <w:trHeight w:val="285"/>
          <w:jc w:val="center"/>
        </w:trPr>
        <w:tc>
          <w:tcPr>
            <w:tcW w:w="2340" w:type="dxa"/>
            <w:tcBorders>
              <w:top w:val="single" w:sz="4" w:space="0" w:color="auto"/>
              <w:left w:val="nil"/>
              <w:bottom w:val="nil"/>
              <w:right w:val="nil"/>
            </w:tcBorders>
            <w:shd w:val="clear" w:color="000000" w:fill="FFFFFF"/>
            <w:noWrap/>
            <w:vAlign w:val="bottom"/>
            <w:hideMark/>
          </w:tcPr>
          <w:p w14:paraId="73720440" w14:textId="77777777" w:rsidR="00F0798B" w:rsidRPr="00F0798B" w:rsidRDefault="00F0798B" w:rsidP="00F0798B">
            <w:pPr>
              <w:spacing w:after="0" w:line="240" w:lineRule="auto"/>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inom 30 min</w:t>
            </w:r>
          </w:p>
        </w:tc>
        <w:tc>
          <w:tcPr>
            <w:tcW w:w="1760" w:type="dxa"/>
            <w:tcBorders>
              <w:top w:val="single" w:sz="4" w:space="0" w:color="auto"/>
              <w:left w:val="nil"/>
              <w:bottom w:val="nil"/>
              <w:right w:val="nil"/>
            </w:tcBorders>
            <w:shd w:val="clear" w:color="000000" w:fill="FFFFFF"/>
            <w:noWrap/>
            <w:vAlign w:val="bottom"/>
            <w:hideMark/>
          </w:tcPr>
          <w:p w14:paraId="781A00A9"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34,4%</w:t>
            </w:r>
          </w:p>
        </w:tc>
        <w:tc>
          <w:tcPr>
            <w:tcW w:w="920" w:type="dxa"/>
            <w:tcBorders>
              <w:top w:val="single" w:sz="4" w:space="0" w:color="auto"/>
              <w:left w:val="nil"/>
              <w:bottom w:val="nil"/>
              <w:right w:val="nil"/>
            </w:tcBorders>
            <w:shd w:val="clear" w:color="000000" w:fill="FFFFFF"/>
            <w:noWrap/>
            <w:vAlign w:val="bottom"/>
            <w:hideMark/>
          </w:tcPr>
          <w:p w14:paraId="18984583"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 </w:t>
            </w:r>
          </w:p>
        </w:tc>
        <w:tc>
          <w:tcPr>
            <w:tcW w:w="2240" w:type="dxa"/>
            <w:tcBorders>
              <w:top w:val="single" w:sz="4" w:space="0" w:color="auto"/>
              <w:left w:val="nil"/>
              <w:bottom w:val="nil"/>
              <w:right w:val="nil"/>
            </w:tcBorders>
            <w:shd w:val="clear" w:color="000000" w:fill="FFFFFF"/>
            <w:noWrap/>
            <w:vAlign w:val="bottom"/>
            <w:hideMark/>
          </w:tcPr>
          <w:p w14:paraId="24AF7EA5" w14:textId="77777777" w:rsidR="00F0798B" w:rsidRPr="00F0798B" w:rsidRDefault="00F0798B" w:rsidP="00396328">
            <w:pPr>
              <w:spacing w:after="0" w:line="240" w:lineRule="auto"/>
              <w:jc w:val="center"/>
              <w:rPr>
                <w:rFonts w:ascii="Calibri" w:eastAsia="Times New Roman" w:hAnsi="Calibri" w:cs="Calibri"/>
                <w:i/>
                <w:iCs/>
                <w:color w:val="000000"/>
                <w:sz w:val="18"/>
                <w:szCs w:val="18"/>
              </w:rPr>
            </w:pPr>
            <w:r w:rsidRPr="00F0798B">
              <w:rPr>
                <w:rFonts w:ascii="Calibri" w:eastAsia="Times New Roman" w:hAnsi="Calibri" w:cs="Calibri"/>
                <w:i/>
                <w:iCs/>
                <w:color w:val="000000"/>
                <w:sz w:val="18"/>
                <w:szCs w:val="18"/>
              </w:rPr>
              <w:t>Bäst</w:t>
            </w:r>
          </w:p>
        </w:tc>
      </w:tr>
      <w:tr w:rsidR="00F0798B" w:rsidRPr="00F0798B" w14:paraId="0C9952C6" w14:textId="77777777" w:rsidTr="00F0798B">
        <w:trPr>
          <w:trHeight w:val="285"/>
          <w:jc w:val="center"/>
        </w:trPr>
        <w:tc>
          <w:tcPr>
            <w:tcW w:w="2340" w:type="dxa"/>
            <w:tcBorders>
              <w:top w:val="single" w:sz="4" w:space="0" w:color="auto"/>
              <w:left w:val="nil"/>
              <w:bottom w:val="nil"/>
              <w:right w:val="nil"/>
            </w:tcBorders>
            <w:shd w:val="clear" w:color="000000" w:fill="FFFFFF"/>
            <w:noWrap/>
            <w:vAlign w:val="bottom"/>
            <w:hideMark/>
          </w:tcPr>
          <w:p w14:paraId="67CCE95B" w14:textId="77777777" w:rsidR="00F0798B" w:rsidRPr="00F0798B" w:rsidRDefault="00396328" w:rsidP="00F0798B">
            <w:pPr>
              <w:spacing w:after="0" w:line="240" w:lineRule="auto"/>
              <w:rPr>
                <w:rFonts w:ascii="Calibri" w:eastAsia="Times New Roman" w:hAnsi="Calibri" w:cs="Calibri"/>
                <w:b/>
                <w:bCs/>
                <w:color w:val="000000"/>
                <w:sz w:val="18"/>
                <w:szCs w:val="18"/>
              </w:rPr>
            </w:pPr>
            <w:r w:rsidRPr="00A502DE">
              <w:rPr>
                <w:rFonts w:ascii="Calibri" w:eastAsia="Times New Roman" w:hAnsi="Calibri" w:cs="Calibri"/>
                <w:b/>
                <w:bCs/>
                <w:color w:val="000000"/>
                <w:sz w:val="18"/>
                <w:szCs w:val="18"/>
              </w:rPr>
              <w:t>31–60</w:t>
            </w:r>
            <w:r w:rsidR="00F0798B" w:rsidRPr="00F0798B">
              <w:rPr>
                <w:rFonts w:ascii="Calibri" w:eastAsia="Times New Roman" w:hAnsi="Calibri" w:cs="Calibri"/>
                <w:b/>
                <w:bCs/>
                <w:color w:val="000000"/>
                <w:sz w:val="18"/>
                <w:szCs w:val="18"/>
              </w:rPr>
              <w:t xml:space="preserve"> min</w:t>
            </w:r>
          </w:p>
        </w:tc>
        <w:tc>
          <w:tcPr>
            <w:tcW w:w="1760" w:type="dxa"/>
            <w:tcBorders>
              <w:top w:val="single" w:sz="4" w:space="0" w:color="auto"/>
              <w:left w:val="nil"/>
              <w:bottom w:val="nil"/>
              <w:right w:val="nil"/>
            </w:tcBorders>
            <w:shd w:val="clear" w:color="000000" w:fill="FFFFFF"/>
            <w:noWrap/>
            <w:vAlign w:val="bottom"/>
            <w:hideMark/>
          </w:tcPr>
          <w:p w14:paraId="3B214484"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13,8%</w:t>
            </w:r>
          </w:p>
        </w:tc>
        <w:tc>
          <w:tcPr>
            <w:tcW w:w="920" w:type="dxa"/>
            <w:vMerge w:val="restart"/>
            <w:tcBorders>
              <w:top w:val="single" w:sz="4" w:space="0" w:color="auto"/>
              <w:left w:val="nil"/>
              <w:bottom w:val="nil"/>
              <w:right w:val="nil"/>
            </w:tcBorders>
            <w:shd w:val="clear" w:color="000000" w:fill="FFFFFF"/>
            <w:noWrap/>
            <w:vAlign w:val="center"/>
            <w:hideMark/>
          </w:tcPr>
          <w:p w14:paraId="064E4A7B"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26,0%</w:t>
            </w:r>
          </w:p>
        </w:tc>
        <w:tc>
          <w:tcPr>
            <w:tcW w:w="2240" w:type="dxa"/>
            <w:vMerge w:val="restart"/>
            <w:tcBorders>
              <w:top w:val="single" w:sz="4" w:space="0" w:color="auto"/>
              <w:left w:val="nil"/>
              <w:bottom w:val="single" w:sz="4" w:space="0" w:color="000000"/>
              <w:right w:val="nil"/>
            </w:tcBorders>
            <w:shd w:val="clear" w:color="000000" w:fill="FFFFFF"/>
            <w:noWrap/>
            <w:vAlign w:val="center"/>
            <w:hideMark/>
          </w:tcPr>
          <w:p w14:paraId="048C11F3" w14:textId="77777777" w:rsidR="00F0798B" w:rsidRPr="00F0798B" w:rsidRDefault="00F0798B" w:rsidP="00396328">
            <w:pPr>
              <w:spacing w:after="0" w:line="240" w:lineRule="auto"/>
              <w:jc w:val="center"/>
              <w:rPr>
                <w:rFonts w:ascii="Calibri" w:eastAsia="Times New Roman" w:hAnsi="Calibri" w:cs="Calibri"/>
                <w:i/>
                <w:iCs/>
                <w:color w:val="000000"/>
                <w:sz w:val="18"/>
                <w:szCs w:val="18"/>
              </w:rPr>
            </w:pPr>
            <w:r w:rsidRPr="00F0798B">
              <w:rPr>
                <w:rFonts w:ascii="Calibri" w:eastAsia="Times New Roman" w:hAnsi="Calibri" w:cs="Calibri"/>
                <w:i/>
                <w:iCs/>
                <w:color w:val="000000"/>
                <w:sz w:val="18"/>
                <w:szCs w:val="18"/>
              </w:rPr>
              <w:t>Medel</w:t>
            </w:r>
          </w:p>
        </w:tc>
      </w:tr>
      <w:tr w:rsidR="00F0798B" w:rsidRPr="00F0798B" w14:paraId="2D17DCAC" w14:textId="77777777" w:rsidTr="00F0798B">
        <w:trPr>
          <w:trHeight w:val="285"/>
          <w:jc w:val="center"/>
        </w:trPr>
        <w:tc>
          <w:tcPr>
            <w:tcW w:w="2340" w:type="dxa"/>
            <w:tcBorders>
              <w:top w:val="nil"/>
              <w:left w:val="nil"/>
              <w:bottom w:val="nil"/>
              <w:right w:val="nil"/>
            </w:tcBorders>
            <w:shd w:val="clear" w:color="000000" w:fill="FFFFFF"/>
            <w:noWrap/>
            <w:vAlign w:val="bottom"/>
            <w:hideMark/>
          </w:tcPr>
          <w:p w14:paraId="710931F2" w14:textId="77777777" w:rsidR="00F0798B" w:rsidRPr="00F0798B" w:rsidRDefault="00396328" w:rsidP="00F0798B">
            <w:pPr>
              <w:spacing w:after="0" w:line="240" w:lineRule="auto"/>
              <w:rPr>
                <w:rFonts w:ascii="Calibri" w:eastAsia="Times New Roman" w:hAnsi="Calibri" w:cs="Calibri"/>
                <w:b/>
                <w:bCs/>
                <w:color w:val="000000"/>
                <w:sz w:val="18"/>
                <w:szCs w:val="18"/>
              </w:rPr>
            </w:pPr>
            <w:r w:rsidRPr="00A502DE">
              <w:rPr>
                <w:rFonts w:ascii="Calibri" w:eastAsia="Times New Roman" w:hAnsi="Calibri" w:cs="Calibri"/>
                <w:b/>
                <w:bCs/>
                <w:color w:val="000000"/>
                <w:sz w:val="18"/>
                <w:szCs w:val="18"/>
              </w:rPr>
              <w:t>61–120</w:t>
            </w:r>
            <w:r w:rsidR="00F0798B" w:rsidRPr="00F0798B">
              <w:rPr>
                <w:rFonts w:ascii="Calibri" w:eastAsia="Times New Roman" w:hAnsi="Calibri" w:cs="Calibri"/>
                <w:b/>
                <w:bCs/>
                <w:color w:val="000000"/>
                <w:sz w:val="18"/>
                <w:szCs w:val="18"/>
              </w:rPr>
              <w:t xml:space="preserve"> min</w:t>
            </w:r>
          </w:p>
        </w:tc>
        <w:tc>
          <w:tcPr>
            <w:tcW w:w="1760" w:type="dxa"/>
            <w:tcBorders>
              <w:top w:val="nil"/>
              <w:left w:val="nil"/>
              <w:bottom w:val="nil"/>
              <w:right w:val="nil"/>
            </w:tcBorders>
            <w:shd w:val="clear" w:color="000000" w:fill="FFFFFF"/>
            <w:noWrap/>
            <w:vAlign w:val="bottom"/>
            <w:hideMark/>
          </w:tcPr>
          <w:p w14:paraId="08CDFDB7"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12,2%</w:t>
            </w:r>
          </w:p>
        </w:tc>
        <w:tc>
          <w:tcPr>
            <w:tcW w:w="920" w:type="dxa"/>
            <w:vMerge/>
            <w:tcBorders>
              <w:top w:val="single" w:sz="4" w:space="0" w:color="auto"/>
              <w:left w:val="nil"/>
              <w:bottom w:val="nil"/>
              <w:right w:val="nil"/>
            </w:tcBorders>
            <w:vAlign w:val="center"/>
            <w:hideMark/>
          </w:tcPr>
          <w:p w14:paraId="618AFF10" w14:textId="77777777" w:rsidR="00F0798B" w:rsidRPr="00F0798B" w:rsidRDefault="00F0798B" w:rsidP="00F0798B">
            <w:pPr>
              <w:spacing w:after="0" w:line="240" w:lineRule="auto"/>
              <w:rPr>
                <w:rFonts w:ascii="Calibri" w:eastAsia="Times New Roman" w:hAnsi="Calibri" w:cs="Calibri"/>
                <w:color w:val="000000"/>
                <w:sz w:val="18"/>
                <w:szCs w:val="18"/>
              </w:rPr>
            </w:pPr>
          </w:p>
        </w:tc>
        <w:tc>
          <w:tcPr>
            <w:tcW w:w="2240" w:type="dxa"/>
            <w:vMerge/>
            <w:tcBorders>
              <w:top w:val="single" w:sz="4" w:space="0" w:color="auto"/>
              <w:left w:val="nil"/>
              <w:bottom w:val="single" w:sz="4" w:space="0" w:color="000000"/>
              <w:right w:val="nil"/>
            </w:tcBorders>
            <w:vAlign w:val="center"/>
            <w:hideMark/>
          </w:tcPr>
          <w:p w14:paraId="2C6801C0" w14:textId="77777777" w:rsidR="00F0798B" w:rsidRPr="00F0798B" w:rsidRDefault="00F0798B" w:rsidP="00396328">
            <w:pPr>
              <w:spacing w:after="0" w:line="240" w:lineRule="auto"/>
              <w:jc w:val="center"/>
              <w:rPr>
                <w:rFonts w:ascii="Calibri" w:eastAsia="Times New Roman" w:hAnsi="Calibri" w:cs="Calibri"/>
                <w:i/>
                <w:iCs/>
                <w:color w:val="000000"/>
                <w:sz w:val="18"/>
                <w:szCs w:val="18"/>
              </w:rPr>
            </w:pPr>
          </w:p>
        </w:tc>
      </w:tr>
      <w:tr w:rsidR="00F0798B" w:rsidRPr="00F0798B" w14:paraId="45865AA7" w14:textId="77777777" w:rsidTr="00F0798B">
        <w:trPr>
          <w:trHeight w:val="293"/>
          <w:jc w:val="center"/>
        </w:trPr>
        <w:tc>
          <w:tcPr>
            <w:tcW w:w="2340" w:type="dxa"/>
            <w:tcBorders>
              <w:top w:val="single" w:sz="4" w:space="0" w:color="auto"/>
              <w:left w:val="nil"/>
              <w:bottom w:val="single" w:sz="8" w:space="0" w:color="auto"/>
              <w:right w:val="nil"/>
            </w:tcBorders>
            <w:shd w:val="clear" w:color="000000" w:fill="FFFFFF"/>
            <w:noWrap/>
            <w:vAlign w:val="bottom"/>
            <w:hideMark/>
          </w:tcPr>
          <w:p w14:paraId="077975A0" w14:textId="77777777" w:rsidR="00F0798B" w:rsidRPr="00F0798B" w:rsidRDefault="00396328" w:rsidP="00F0798B">
            <w:pPr>
              <w:spacing w:after="0" w:line="240" w:lineRule="auto"/>
              <w:rPr>
                <w:rFonts w:ascii="Calibri" w:eastAsia="Times New Roman" w:hAnsi="Calibri" w:cs="Calibri"/>
                <w:b/>
                <w:bCs/>
                <w:color w:val="000000"/>
                <w:sz w:val="18"/>
                <w:szCs w:val="18"/>
              </w:rPr>
            </w:pPr>
            <w:r w:rsidRPr="00A502DE">
              <w:rPr>
                <w:rFonts w:ascii="Calibri" w:eastAsia="Times New Roman" w:hAnsi="Calibri" w:cs="Calibri"/>
                <w:b/>
                <w:bCs/>
                <w:color w:val="000000"/>
                <w:sz w:val="18"/>
                <w:szCs w:val="18"/>
              </w:rPr>
              <w:t>121–180</w:t>
            </w:r>
            <w:r w:rsidR="00F0798B" w:rsidRPr="00F0798B">
              <w:rPr>
                <w:rFonts w:ascii="Calibri" w:eastAsia="Times New Roman" w:hAnsi="Calibri" w:cs="Calibri"/>
                <w:b/>
                <w:bCs/>
                <w:color w:val="000000"/>
                <w:sz w:val="18"/>
                <w:szCs w:val="18"/>
              </w:rPr>
              <w:t xml:space="preserve"> min</w:t>
            </w:r>
          </w:p>
        </w:tc>
        <w:tc>
          <w:tcPr>
            <w:tcW w:w="1760" w:type="dxa"/>
            <w:tcBorders>
              <w:top w:val="single" w:sz="4" w:space="0" w:color="auto"/>
              <w:left w:val="nil"/>
              <w:bottom w:val="single" w:sz="8" w:space="0" w:color="auto"/>
              <w:right w:val="nil"/>
            </w:tcBorders>
            <w:shd w:val="clear" w:color="000000" w:fill="FFFFFF"/>
            <w:noWrap/>
            <w:vAlign w:val="bottom"/>
            <w:hideMark/>
          </w:tcPr>
          <w:p w14:paraId="59A22502"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7,9%</w:t>
            </w:r>
          </w:p>
        </w:tc>
        <w:tc>
          <w:tcPr>
            <w:tcW w:w="920" w:type="dxa"/>
            <w:tcBorders>
              <w:top w:val="single" w:sz="4" w:space="0" w:color="auto"/>
              <w:left w:val="nil"/>
              <w:bottom w:val="single" w:sz="8" w:space="0" w:color="auto"/>
              <w:right w:val="nil"/>
            </w:tcBorders>
            <w:shd w:val="clear" w:color="auto" w:fill="auto"/>
            <w:noWrap/>
            <w:vAlign w:val="bottom"/>
            <w:hideMark/>
          </w:tcPr>
          <w:p w14:paraId="3C72AC2C" w14:textId="77777777" w:rsidR="00F0798B" w:rsidRPr="00F0798B" w:rsidRDefault="00F0798B" w:rsidP="00F0798B">
            <w:pPr>
              <w:spacing w:after="0" w:line="240" w:lineRule="auto"/>
              <w:rPr>
                <w:rFonts w:ascii="Calibri" w:eastAsia="Times New Roman" w:hAnsi="Calibri" w:cs="Calibri"/>
                <w:color w:val="000000"/>
                <w:sz w:val="18"/>
                <w:szCs w:val="18"/>
              </w:rPr>
            </w:pPr>
            <w:r w:rsidRPr="00F0798B">
              <w:rPr>
                <w:rFonts w:ascii="Calibri" w:eastAsia="Times New Roman" w:hAnsi="Calibri" w:cs="Calibri"/>
                <w:color w:val="000000"/>
                <w:sz w:val="18"/>
                <w:szCs w:val="18"/>
              </w:rPr>
              <w:t> </w:t>
            </w:r>
          </w:p>
        </w:tc>
        <w:tc>
          <w:tcPr>
            <w:tcW w:w="2240" w:type="dxa"/>
            <w:tcBorders>
              <w:top w:val="nil"/>
              <w:left w:val="nil"/>
              <w:bottom w:val="single" w:sz="8" w:space="0" w:color="auto"/>
              <w:right w:val="nil"/>
            </w:tcBorders>
            <w:shd w:val="clear" w:color="000000" w:fill="FFFFFF"/>
            <w:noWrap/>
            <w:vAlign w:val="bottom"/>
            <w:hideMark/>
          </w:tcPr>
          <w:p w14:paraId="1643E3C9" w14:textId="77777777" w:rsidR="00F0798B" w:rsidRPr="00F0798B" w:rsidRDefault="00F0798B" w:rsidP="00396328">
            <w:pPr>
              <w:spacing w:after="0" w:line="240" w:lineRule="auto"/>
              <w:jc w:val="center"/>
              <w:rPr>
                <w:rFonts w:ascii="Calibri" w:eastAsia="Times New Roman" w:hAnsi="Calibri" w:cs="Calibri"/>
                <w:i/>
                <w:iCs/>
                <w:color w:val="000000"/>
                <w:sz w:val="18"/>
                <w:szCs w:val="18"/>
              </w:rPr>
            </w:pPr>
            <w:r w:rsidRPr="00F0798B">
              <w:rPr>
                <w:rFonts w:ascii="Calibri" w:eastAsia="Times New Roman" w:hAnsi="Calibri" w:cs="Calibri"/>
                <w:i/>
                <w:iCs/>
                <w:color w:val="000000"/>
                <w:sz w:val="18"/>
                <w:szCs w:val="18"/>
              </w:rPr>
              <w:t>Sämst</w:t>
            </w:r>
          </w:p>
        </w:tc>
      </w:tr>
      <w:tr w:rsidR="00F0798B" w:rsidRPr="00F0798B" w14:paraId="4F731D27" w14:textId="77777777" w:rsidTr="00F0798B">
        <w:trPr>
          <w:trHeight w:val="293"/>
          <w:jc w:val="center"/>
        </w:trPr>
        <w:tc>
          <w:tcPr>
            <w:tcW w:w="2340" w:type="dxa"/>
            <w:tcBorders>
              <w:top w:val="nil"/>
              <w:left w:val="nil"/>
              <w:bottom w:val="single" w:sz="8" w:space="0" w:color="auto"/>
              <w:right w:val="nil"/>
            </w:tcBorders>
            <w:shd w:val="clear" w:color="000000" w:fill="FFFFFF"/>
            <w:noWrap/>
            <w:vAlign w:val="bottom"/>
            <w:hideMark/>
          </w:tcPr>
          <w:p w14:paraId="4E50A131" w14:textId="77777777" w:rsidR="00F0798B" w:rsidRPr="00F0798B" w:rsidRDefault="00F0798B" w:rsidP="00F0798B">
            <w:pPr>
              <w:spacing w:after="0" w:line="240" w:lineRule="auto"/>
              <w:rPr>
                <w:rFonts w:ascii="Calibri" w:eastAsia="Times New Roman" w:hAnsi="Calibri" w:cs="Calibri"/>
                <w:b/>
                <w:bCs/>
                <w:color w:val="000000"/>
                <w:sz w:val="18"/>
                <w:szCs w:val="18"/>
              </w:rPr>
            </w:pPr>
            <w:r w:rsidRPr="00F0798B">
              <w:rPr>
                <w:rFonts w:ascii="Calibri" w:eastAsia="Times New Roman" w:hAnsi="Calibri" w:cs="Calibri"/>
                <w:b/>
                <w:bCs/>
                <w:color w:val="000000"/>
                <w:sz w:val="18"/>
                <w:szCs w:val="18"/>
              </w:rPr>
              <w:t>&gt;180 min</w:t>
            </w:r>
          </w:p>
        </w:tc>
        <w:tc>
          <w:tcPr>
            <w:tcW w:w="1760" w:type="dxa"/>
            <w:tcBorders>
              <w:top w:val="nil"/>
              <w:left w:val="nil"/>
              <w:bottom w:val="single" w:sz="8" w:space="0" w:color="auto"/>
              <w:right w:val="nil"/>
            </w:tcBorders>
            <w:shd w:val="clear" w:color="000000" w:fill="FFFFFF"/>
            <w:noWrap/>
            <w:vAlign w:val="bottom"/>
            <w:hideMark/>
          </w:tcPr>
          <w:p w14:paraId="0644BD8E"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31,7%</w:t>
            </w:r>
          </w:p>
        </w:tc>
        <w:tc>
          <w:tcPr>
            <w:tcW w:w="920" w:type="dxa"/>
            <w:tcBorders>
              <w:top w:val="nil"/>
              <w:left w:val="nil"/>
              <w:bottom w:val="single" w:sz="8" w:space="0" w:color="auto"/>
              <w:right w:val="nil"/>
            </w:tcBorders>
            <w:shd w:val="clear" w:color="000000" w:fill="FFFFFF"/>
            <w:noWrap/>
            <w:vAlign w:val="bottom"/>
            <w:hideMark/>
          </w:tcPr>
          <w:p w14:paraId="1628A184" w14:textId="77777777" w:rsidR="00F0798B" w:rsidRPr="00F0798B" w:rsidRDefault="00F0798B" w:rsidP="00F0798B">
            <w:pPr>
              <w:spacing w:after="0" w:line="240" w:lineRule="auto"/>
              <w:jc w:val="center"/>
              <w:rPr>
                <w:rFonts w:ascii="Calibri" w:eastAsia="Times New Roman" w:hAnsi="Calibri" w:cs="Calibri"/>
                <w:color w:val="000000"/>
                <w:sz w:val="18"/>
                <w:szCs w:val="18"/>
              </w:rPr>
            </w:pPr>
            <w:r w:rsidRPr="00F0798B">
              <w:rPr>
                <w:rFonts w:ascii="Calibri" w:eastAsia="Times New Roman" w:hAnsi="Calibri" w:cs="Calibri"/>
                <w:color w:val="000000"/>
                <w:sz w:val="18"/>
                <w:szCs w:val="18"/>
              </w:rPr>
              <w:t>31,7%</w:t>
            </w:r>
          </w:p>
        </w:tc>
        <w:tc>
          <w:tcPr>
            <w:tcW w:w="2240" w:type="dxa"/>
            <w:tcBorders>
              <w:top w:val="nil"/>
              <w:left w:val="nil"/>
              <w:bottom w:val="single" w:sz="8" w:space="0" w:color="auto"/>
              <w:right w:val="nil"/>
            </w:tcBorders>
            <w:shd w:val="clear" w:color="000000" w:fill="FFFFFF"/>
            <w:noWrap/>
            <w:vAlign w:val="center"/>
            <w:hideMark/>
          </w:tcPr>
          <w:p w14:paraId="2FC90FE2" w14:textId="77777777" w:rsidR="00F0798B" w:rsidRPr="00F0798B" w:rsidRDefault="00F0798B" w:rsidP="00396328">
            <w:pPr>
              <w:spacing w:after="0" w:line="240" w:lineRule="auto"/>
              <w:jc w:val="center"/>
              <w:rPr>
                <w:rFonts w:ascii="Calibri" w:eastAsia="Times New Roman" w:hAnsi="Calibri" w:cs="Calibri"/>
                <w:i/>
                <w:iCs/>
                <w:color w:val="000000"/>
                <w:sz w:val="18"/>
                <w:szCs w:val="18"/>
              </w:rPr>
            </w:pPr>
            <w:r w:rsidRPr="00F0798B">
              <w:rPr>
                <w:rFonts w:ascii="Calibri" w:eastAsia="Times New Roman" w:hAnsi="Calibri" w:cs="Calibri"/>
                <w:i/>
                <w:iCs/>
                <w:color w:val="000000"/>
                <w:sz w:val="18"/>
                <w:szCs w:val="18"/>
              </w:rPr>
              <w:t>Ej genomförbar</w:t>
            </w:r>
          </w:p>
        </w:tc>
      </w:tr>
    </w:tbl>
    <w:p w14:paraId="0E324906" w14:textId="77777777" w:rsidR="004574FF" w:rsidRDefault="00396328" w:rsidP="000801D4">
      <w:pPr>
        <w:rPr>
          <w:sz w:val="16"/>
          <w:szCs w:val="16"/>
        </w:rPr>
      </w:pPr>
      <w:r>
        <w:t xml:space="preserve">                  </w:t>
      </w:r>
      <w:r w:rsidRPr="00396328">
        <w:rPr>
          <w:b/>
          <w:sz w:val="16"/>
          <w:szCs w:val="16"/>
        </w:rPr>
        <w:t>Tabell 2:</w:t>
      </w:r>
      <w:r w:rsidRPr="00396328">
        <w:rPr>
          <w:sz w:val="16"/>
          <w:szCs w:val="16"/>
        </w:rPr>
        <w:t xml:space="preserve"> Statistik över tiden till asystoli från avslut av livsuppehållande behandling</w:t>
      </w:r>
    </w:p>
    <w:p w14:paraId="3A281537" w14:textId="5A79B3AB" w:rsidR="00A502DE" w:rsidRDefault="00396328" w:rsidP="000801D4">
      <w:r>
        <w:t xml:space="preserve">Notera att 31,7 procent av patienterna inte avlider inom de tre timmar som anses vara acceptabla för en DCD-process. Dessa individer kommer inte att tas hänsyn till i kostnadsberäkningen eftersom ingen transplantation genomförs. </w:t>
      </w:r>
      <w:r w:rsidR="00282480">
        <w:t>De får i stället vara en kostnad för vården i livets slutskede, en kostnad som uppstår oavsett donation eller inte. Vi har gjort en uppskattning av timkostnaderna för inblandad personal i processen. Tabellen nedan ger dels timkostnaden, del</w:t>
      </w:r>
      <w:r w:rsidR="005004EE">
        <w:t>s</w:t>
      </w:r>
      <w:r w:rsidR="00282480">
        <w:t xml:space="preserve"> kostnaden inklusive arbetsgivaravgifter efter skatt.</w:t>
      </w:r>
    </w:p>
    <w:tbl>
      <w:tblPr>
        <w:tblW w:w="7230" w:type="dxa"/>
        <w:jc w:val="center"/>
        <w:tblCellMar>
          <w:left w:w="70" w:type="dxa"/>
          <w:right w:w="70" w:type="dxa"/>
        </w:tblCellMar>
        <w:tblLook w:val="04A0" w:firstRow="1" w:lastRow="0" w:firstColumn="1" w:lastColumn="0" w:noHBand="0" w:noVBand="1"/>
      </w:tblPr>
      <w:tblGrid>
        <w:gridCol w:w="2120"/>
        <w:gridCol w:w="1708"/>
        <w:gridCol w:w="3402"/>
      </w:tblGrid>
      <w:tr w:rsidR="00282480" w:rsidRPr="00282480" w14:paraId="6540ED82" w14:textId="77777777" w:rsidTr="00A502DE">
        <w:trPr>
          <w:trHeight w:val="321"/>
          <w:jc w:val="center"/>
        </w:trPr>
        <w:tc>
          <w:tcPr>
            <w:tcW w:w="2120" w:type="dxa"/>
            <w:tcBorders>
              <w:top w:val="single" w:sz="4" w:space="0" w:color="auto"/>
              <w:left w:val="nil"/>
              <w:bottom w:val="single" w:sz="8" w:space="0" w:color="auto"/>
              <w:right w:val="nil"/>
            </w:tcBorders>
            <w:shd w:val="clear" w:color="000000" w:fill="FFFFFF"/>
            <w:vAlign w:val="bottom"/>
            <w:hideMark/>
          </w:tcPr>
          <w:p w14:paraId="2EC2B500" w14:textId="77777777" w:rsidR="00282480" w:rsidRPr="00282480" w:rsidRDefault="00A502DE" w:rsidP="00A502DE">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 xml:space="preserve">      </w:t>
            </w:r>
            <w:r w:rsidR="00282480" w:rsidRPr="00282480">
              <w:rPr>
                <w:rFonts w:ascii="Calibri" w:eastAsia="Times New Roman" w:hAnsi="Calibri" w:cs="Calibri"/>
                <w:b/>
                <w:bCs/>
                <w:color w:val="000000"/>
                <w:sz w:val="18"/>
                <w:szCs w:val="18"/>
              </w:rPr>
              <w:t>Löner per timme</w:t>
            </w:r>
          </w:p>
        </w:tc>
        <w:tc>
          <w:tcPr>
            <w:tcW w:w="1708" w:type="dxa"/>
            <w:tcBorders>
              <w:top w:val="single" w:sz="4" w:space="0" w:color="auto"/>
              <w:left w:val="nil"/>
              <w:bottom w:val="single" w:sz="8" w:space="0" w:color="auto"/>
              <w:right w:val="nil"/>
            </w:tcBorders>
            <w:shd w:val="clear" w:color="000000" w:fill="FFFFFF"/>
            <w:vAlign w:val="bottom"/>
            <w:hideMark/>
          </w:tcPr>
          <w:p w14:paraId="7EA6888E"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Brutto timlön (kr)</w:t>
            </w:r>
          </w:p>
        </w:tc>
        <w:tc>
          <w:tcPr>
            <w:tcW w:w="3402" w:type="dxa"/>
            <w:tcBorders>
              <w:top w:val="single" w:sz="4" w:space="0" w:color="auto"/>
              <w:left w:val="nil"/>
              <w:bottom w:val="single" w:sz="8" w:space="0" w:color="auto"/>
              <w:right w:val="nil"/>
            </w:tcBorders>
            <w:shd w:val="clear" w:color="000000" w:fill="FFFFFF"/>
            <w:vAlign w:val="bottom"/>
            <w:hideMark/>
          </w:tcPr>
          <w:p w14:paraId="55D19B55"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Kostnad inklusive arbetsgivaravgifter (kr)</w:t>
            </w:r>
          </w:p>
        </w:tc>
      </w:tr>
      <w:tr w:rsidR="00282480" w:rsidRPr="00282480" w14:paraId="6B14604A" w14:textId="77777777" w:rsidTr="00A502DE">
        <w:trPr>
          <w:trHeight w:val="285"/>
          <w:jc w:val="center"/>
        </w:trPr>
        <w:tc>
          <w:tcPr>
            <w:tcW w:w="2120" w:type="dxa"/>
            <w:tcBorders>
              <w:top w:val="nil"/>
              <w:left w:val="nil"/>
              <w:bottom w:val="nil"/>
              <w:right w:val="nil"/>
            </w:tcBorders>
            <w:shd w:val="clear" w:color="000000" w:fill="FFFFFF"/>
            <w:noWrap/>
            <w:vAlign w:val="bottom"/>
            <w:hideMark/>
          </w:tcPr>
          <w:p w14:paraId="06E48812"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 xml:space="preserve">IVA-läkare </w:t>
            </w:r>
          </w:p>
        </w:tc>
        <w:tc>
          <w:tcPr>
            <w:tcW w:w="1708" w:type="dxa"/>
            <w:tcBorders>
              <w:top w:val="nil"/>
              <w:left w:val="nil"/>
              <w:bottom w:val="nil"/>
              <w:right w:val="nil"/>
            </w:tcBorders>
            <w:shd w:val="clear" w:color="000000" w:fill="FFFFFF"/>
            <w:noWrap/>
            <w:vAlign w:val="bottom"/>
            <w:hideMark/>
          </w:tcPr>
          <w:p w14:paraId="0844C6FA"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1625</w:t>
            </w:r>
          </w:p>
        </w:tc>
        <w:tc>
          <w:tcPr>
            <w:tcW w:w="3402" w:type="dxa"/>
            <w:tcBorders>
              <w:top w:val="nil"/>
              <w:left w:val="nil"/>
              <w:bottom w:val="nil"/>
              <w:right w:val="nil"/>
            </w:tcBorders>
            <w:shd w:val="clear" w:color="000000" w:fill="FFFFFF"/>
            <w:noWrap/>
            <w:vAlign w:val="bottom"/>
            <w:hideMark/>
          </w:tcPr>
          <w:p w14:paraId="51920D48"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1918</w:t>
            </w:r>
          </w:p>
        </w:tc>
      </w:tr>
      <w:tr w:rsidR="00282480" w:rsidRPr="00282480" w14:paraId="44F0ABE6" w14:textId="77777777" w:rsidTr="00A502DE">
        <w:trPr>
          <w:trHeight w:val="285"/>
          <w:jc w:val="center"/>
        </w:trPr>
        <w:tc>
          <w:tcPr>
            <w:tcW w:w="2120" w:type="dxa"/>
            <w:tcBorders>
              <w:top w:val="nil"/>
              <w:left w:val="nil"/>
              <w:bottom w:val="nil"/>
              <w:right w:val="nil"/>
            </w:tcBorders>
            <w:shd w:val="clear" w:color="000000" w:fill="FFFFFF"/>
            <w:noWrap/>
            <w:vAlign w:val="bottom"/>
            <w:hideMark/>
          </w:tcPr>
          <w:p w14:paraId="07BEEE9F"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IVA-sjuksköterska</w:t>
            </w:r>
          </w:p>
        </w:tc>
        <w:tc>
          <w:tcPr>
            <w:tcW w:w="1708" w:type="dxa"/>
            <w:tcBorders>
              <w:top w:val="nil"/>
              <w:left w:val="nil"/>
              <w:bottom w:val="nil"/>
              <w:right w:val="nil"/>
            </w:tcBorders>
            <w:shd w:val="clear" w:color="000000" w:fill="FFFFFF"/>
            <w:noWrap/>
            <w:vAlign w:val="bottom"/>
            <w:hideMark/>
          </w:tcPr>
          <w:p w14:paraId="42D5076E"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875</w:t>
            </w:r>
          </w:p>
        </w:tc>
        <w:tc>
          <w:tcPr>
            <w:tcW w:w="3402" w:type="dxa"/>
            <w:tcBorders>
              <w:top w:val="nil"/>
              <w:left w:val="nil"/>
              <w:bottom w:val="nil"/>
              <w:right w:val="nil"/>
            </w:tcBorders>
            <w:shd w:val="clear" w:color="000000" w:fill="FFFFFF"/>
            <w:noWrap/>
            <w:vAlign w:val="bottom"/>
            <w:hideMark/>
          </w:tcPr>
          <w:p w14:paraId="018ACD3F"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1033</w:t>
            </w:r>
          </w:p>
        </w:tc>
      </w:tr>
      <w:tr w:rsidR="00282480" w:rsidRPr="00282480" w14:paraId="382DB17B" w14:textId="77777777" w:rsidTr="00A502DE">
        <w:trPr>
          <w:trHeight w:val="285"/>
          <w:jc w:val="center"/>
        </w:trPr>
        <w:tc>
          <w:tcPr>
            <w:tcW w:w="2120" w:type="dxa"/>
            <w:tcBorders>
              <w:top w:val="nil"/>
              <w:left w:val="nil"/>
              <w:bottom w:val="nil"/>
              <w:right w:val="nil"/>
            </w:tcBorders>
            <w:shd w:val="clear" w:color="000000" w:fill="FFFFFF"/>
            <w:noWrap/>
            <w:vAlign w:val="bottom"/>
            <w:hideMark/>
          </w:tcPr>
          <w:p w14:paraId="5FFF715E"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 xml:space="preserve">Undersköterska </w:t>
            </w:r>
          </w:p>
        </w:tc>
        <w:tc>
          <w:tcPr>
            <w:tcW w:w="1708" w:type="dxa"/>
            <w:tcBorders>
              <w:top w:val="nil"/>
              <w:left w:val="nil"/>
              <w:bottom w:val="nil"/>
              <w:right w:val="nil"/>
            </w:tcBorders>
            <w:shd w:val="clear" w:color="000000" w:fill="FFFFFF"/>
            <w:noWrap/>
            <w:vAlign w:val="bottom"/>
            <w:hideMark/>
          </w:tcPr>
          <w:p w14:paraId="65AD0E25"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625</w:t>
            </w:r>
          </w:p>
        </w:tc>
        <w:tc>
          <w:tcPr>
            <w:tcW w:w="3402" w:type="dxa"/>
            <w:tcBorders>
              <w:top w:val="nil"/>
              <w:left w:val="nil"/>
              <w:bottom w:val="nil"/>
              <w:right w:val="nil"/>
            </w:tcBorders>
            <w:shd w:val="clear" w:color="000000" w:fill="FFFFFF"/>
            <w:noWrap/>
            <w:vAlign w:val="bottom"/>
            <w:hideMark/>
          </w:tcPr>
          <w:p w14:paraId="3B0489F8"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738</w:t>
            </w:r>
          </w:p>
        </w:tc>
      </w:tr>
      <w:tr w:rsidR="00282480" w:rsidRPr="00282480" w14:paraId="4C463053" w14:textId="77777777" w:rsidTr="00A502DE">
        <w:trPr>
          <w:trHeight w:val="293"/>
          <w:jc w:val="center"/>
        </w:trPr>
        <w:tc>
          <w:tcPr>
            <w:tcW w:w="2120" w:type="dxa"/>
            <w:tcBorders>
              <w:top w:val="nil"/>
              <w:left w:val="nil"/>
              <w:bottom w:val="single" w:sz="8" w:space="0" w:color="auto"/>
              <w:right w:val="nil"/>
            </w:tcBorders>
            <w:shd w:val="clear" w:color="000000" w:fill="FFFFFF"/>
            <w:noWrap/>
            <w:vAlign w:val="bottom"/>
            <w:hideMark/>
          </w:tcPr>
          <w:p w14:paraId="4BFE92FA" w14:textId="77777777" w:rsidR="00282480" w:rsidRPr="00282480" w:rsidRDefault="00282480" w:rsidP="00282480">
            <w:pPr>
              <w:spacing w:after="0" w:line="240" w:lineRule="auto"/>
              <w:jc w:val="center"/>
              <w:rPr>
                <w:rFonts w:ascii="Calibri" w:eastAsia="Times New Roman" w:hAnsi="Calibri" w:cs="Calibri"/>
                <w:b/>
                <w:bCs/>
                <w:color w:val="000000"/>
                <w:sz w:val="18"/>
                <w:szCs w:val="18"/>
              </w:rPr>
            </w:pPr>
            <w:r w:rsidRPr="00282480">
              <w:rPr>
                <w:rFonts w:ascii="Calibri" w:eastAsia="Times New Roman" w:hAnsi="Calibri" w:cs="Calibri"/>
                <w:b/>
                <w:bCs/>
                <w:color w:val="000000"/>
                <w:sz w:val="18"/>
                <w:szCs w:val="18"/>
              </w:rPr>
              <w:t>Donationskoordinator</w:t>
            </w:r>
          </w:p>
        </w:tc>
        <w:tc>
          <w:tcPr>
            <w:tcW w:w="1708" w:type="dxa"/>
            <w:tcBorders>
              <w:top w:val="nil"/>
              <w:left w:val="nil"/>
              <w:bottom w:val="single" w:sz="8" w:space="0" w:color="auto"/>
              <w:right w:val="nil"/>
            </w:tcBorders>
            <w:shd w:val="clear" w:color="000000" w:fill="FFFFFF"/>
            <w:noWrap/>
            <w:vAlign w:val="bottom"/>
            <w:hideMark/>
          </w:tcPr>
          <w:p w14:paraId="00594BC1"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1625</w:t>
            </w:r>
          </w:p>
        </w:tc>
        <w:tc>
          <w:tcPr>
            <w:tcW w:w="3402" w:type="dxa"/>
            <w:tcBorders>
              <w:top w:val="nil"/>
              <w:left w:val="nil"/>
              <w:bottom w:val="single" w:sz="8" w:space="0" w:color="auto"/>
              <w:right w:val="nil"/>
            </w:tcBorders>
            <w:shd w:val="clear" w:color="000000" w:fill="FFFFFF"/>
            <w:noWrap/>
            <w:vAlign w:val="bottom"/>
            <w:hideMark/>
          </w:tcPr>
          <w:p w14:paraId="7CBBD0CD" w14:textId="77777777" w:rsidR="00282480" w:rsidRPr="00282480" w:rsidRDefault="00282480" w:rsidP="00282480">
            <w:pPr>
              <w:spacing w:after="0" w:line="240" w:lineRule="auto"/>
              <w:jc w:val="center"/>
              <w:rPr>
                <w:rFonts w:ascii="Calibri" w:eastAsia="Times New Roman" w:hAnsi="Calibri" w:cs="Calibri"/>
                <w:color w:val="000000"/>
                <w:sz w:val="18"/>
                <w:szCs w:val="18"/>
              </w:rPr>
            </w:pPr>
            <w:r w:rsidRPr="00282480">
              <w:rPr>
                <w:rFonts w:ascii="Calibri" w:eastAsia="Times New Roman" w:hAnsi="Calibri" w:cs="Calibri"/>
                <w:color w:val="000000"/>
                <w:sz w:val="18"/>
                <w:szCs w:val="18"/>
              </w:rPr>
              <w:t>1918</w:t>
            </w:r>
          </w:p>
        </w:tc>
      </w:tr>
    </w:tbl>
    <w:p w14:paraId="3BB8BEF0" w14:textId="77777777" w:rsidR="00D75898" w:rsidRDefault="00D75898" w:rsidP="00D75898">
      <w:pPr>
        <w:pStyle w:val="Rubrik3"/>
      </w:pPr>
      <w:bookmarkStart w:id="5" w:name="_Toc474824363"/>
      <w:r w:rsidRPr="00CA0A47">
        <w:rPr>
          <w:color w:val="FF0000"/>
        </w:rPr>
        <w:t>QALY</w:t>
      </w:r>
      <w:bookmarkEnd w:id="5"/>
    </w:p>
    <w:p w14:paraId="3981CE69" w14:textId="09EE7AD2" w:rsidR="00A6590E" w:rsidRDefault="00FF5B17" w:rsidP="008F4167">
      <w:r>
        <w:t>Som vi nämnt tidigare är QALY för olika behandlingar svåra att mäta. En annan aspekt i frågan uppstår då livskvalitet ska mätas för individer i olika åldrar. Det är inte oresonligt att tänka sig att yngre individer generellt uppger har högre livskvalitet, givet samma diagnos, än äldre. Vi vet dessutom att livskvaliteten sjunker med åren och att de</w:t>
      </w:r>
      <w:r w:rsidR="005004EE">
        <w:t>n</w:t>
      </w:r>
      <w:r>
        <w:t xml:space="preserve"> inte sjunker i samma takt i åldrarna 20—40 som i åldrarna 60—80. </w:t>
      </w:r>
      <w:r w:rsidR="00A6590E">
        <w:t>Vi har valt att utföra en litteraturstudie kring QALY i uremivården, och i synnerhet den vård som innefattar haemodialys, peritonealdialys och transplantation. Vi har funnit att värden varierar mycket kraftigt mellan olika länder. En av orsake</w:t>
      </w:r>
      <w:r w:rsidR="005004EE">
        <w:t>r</w:t>
      </w:r>
      <w:r w:rsidR="00A6590E">
        <w:t>n</w:t>
      </w:r>
      <w:r w:rsidR="005004EE">
        <w:t>a</w:t>
      </w:r>
      <w:r w:rsidR="00A6590E">
        <w:t xml:space="preserve"> är valet av patientunderlaget och de begränsningar som görs. </w:t>
      </w:r>
      <w:r w:rsidR="00964B20">
        <w:t xml:space="preserve">Vissa mätningar fokuserar på patienter med lyckade transplantationer (IGF-Tx) eller särskilda åldersgrupper. Vissa mätningar ber friska respondenter att förhålla sig till en hypotetisk sjukdom.   </w:t>
      </w:r>
      <w:r w:rsidR="00A6590E">
        <w:t xml:space="preserve"> </w:t>
      </w:r>
    </w:p>
    <w:p w14:paraId="43D86816" w14:textId="36C815C5" w:rsidR="0072557C" w:rsidRDefault="0072557C" w:rsidP="008F4167">
      <w:r>
        <w:t>Flera undersökningar av QALY:s för dialys- och transplanterade patienter nämns i SOU 2015:84, däribland en svensk studie. Vi har valt att utnyttja dessa studier för att skapa en modell som innehåller e</w:t>
      </w:r>
      <w:r w:rsidR="00B23A7E">
        <w:t>tt</w:t>
      </w:r>
      <w:r>
        <w:t xml:space="preserve"> </w:t>
      </w:r>
      <w:r w:rsidR="00B23A7E">
        <w:t>bas</w:t>
      </w:r>
      <w:r>
        <w:t>scenario för QALY samt två extrema scenarier (Sämst-Bas-Bäst).</w:t>
      </w:r>
      <w:r w:rsidR="00BB1F21">
        <w:t xml:space="preserve"> Vi diskonterar värden</w:t>
      </w:r>
      <w:r w:rsidR="005004EE">
        <w:t>a</w:t>
      </w:r>
      <w:r w:rsidR="00BB1F21">
        <w:t xml:space="preserve"> med 5 procent per år. </w:t>
      </w:r>
      <w:r>
        <w:t xml:space="preserve"> </w:t>
      </w:r>
    </w:p>
    <w:tbl>
      <w:tblPr>
        <w:tblW w:w="9260" w:type="dxa"/>
        <w:tblCellMar>
          <w:left w:w="70" w:type="dxa"/>
          <w:right w:w="70" w:type="dxa"/>
        </w:tblCellMar>
        <w:tblLook w:val="04A0" w:firstRow="1" w:lastRow="0" w:firstColumn="1" w:lastColumn="0" w:noHBand="0" w:noVBand="1"/>
      </w:tblPr>
      <w:tblGrid>
        <w:gridCol w:w="740"/>
        <w:gridCol w:w="1060"/>
        <w:gridCol w:w="800"/>
        <w:gridCol w:w="1060"/>
        <w:gridCol w:w="1080"/>
        <w:gridCol w:w="880"/>
        <w:gridCol w:w="840"/>
        <w:gridCol w:w="940"/>
        <w:gridCol w:w="920"/>
        <w:gridCol w:w="940"/>
      </w:tblGrid>
      <w:tr w:rsidR="0072557C" w:rsidRPr="0072557C" w14:paraId="773CDE46" w14:textId="77777777" w:rsidTr="0072557C">
        <w:trPr>
          <w:trHeight w:val="293"/>
        </w:trPr>
        <w:tc>
          <w:tcPr>
            <w:tcW w:w="740" w:type="dxa"/>
            <w:tcBorders>
              <w:top w:val="single" w:sz="4" w:space="0" w:color="auto"/>
              <w:left w:val="nil"/>
              <w:bottom w:val="single" w:sz="8" w:space="0" w:color="auto"/>
              <w:right w:val="nil"/>
            </w:tcBorders>
            <w:shd w:val="clear" w:color="000000" w:fill="FFFFFF"/>
            <w:noWrap/>
            <w:vAlign w:val="bottom"/>
            <w:hideMark/>
          </w:tcPr>
          <w:p w14:paraId="601DFAF1"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År</w:t>
            </w:r>
          </w:p>
        </w:tc>
        <w:tc>
          <w:tcPr>
            <w:tcW w:w="1060" w:type="dxa"/>
            <w:tcBorders>
              <w:top w:val="single" w:sz="4" w:space="0" w:color="auto"/>
              <w:left w:val="nil"/>
              <w:bottom w:val="single" w:sz="8" w:space="0" w:color="auto"/>
              <w:right w:val="nil"/>
            </w:tcBorders>
            <w:shd w:val="clear" w:color="000000" w:fill="FFFFFF"/>
            <w:noWrap/>
            <w:vAlign w:val="bottom"/>
            <w:hideMark/>
          </w:tcPr>
          <w:p w14:paraId="7930DF6A"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HD sämst</w:t>
            </w:r>
          </w:p>
        </w:tc>
        <w:tc>
          <w:tcPr>
            <w:tcW w:w="800" w:type="dxa"/>
            <w:tcBorders>
              <w:top w:val="single" w:sz="4" w:space="0" w:color="auto"/>
              <w:left w:val="nil"/>
              <w:bottom w:val="single" w:sz="8" w:space="0" w:color="auto"/>
              <w:right w:val="nil"/>
            </w:tcBorders>
            <w:shd w:val="clear" w:color="000000" w:fill="FFFFFF"/>
            <w:noWrap/>
            <w:vAlign w:val="bottom"/>
            <w:hideMark/>
          </w:tcPr>
          <w:p w14:paraId="62F7ECFA"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HD bas</w:t>
            </w:r>
          </w:p>
        </w:tc>
        <w:tc>
          <w:tcPr>
            <w:tcW w:w="1060" w:type="dxa"/>
            <w:tcBorders>
              <w:top w:val="single" w:sz="4" w:space="0" w:color="auto"/>
              <w:left w:val="nil"/>
              <w:bottom w:val="single" w:sz="8" w:space="0" w:color="auto"/>
              <w:right w:val="nil"/>
            </w:tcBorders>
            <w:shd w:val="clear" w:color="000000" w:fill="FFFFFF"/>
            <w:noWrap/>
            <w:vAlign w:val="bottom"/>
            <w:hideMark/>
          </w:tcPr>
          <w:p w14:paraId="5C4B1C3E"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HD bäst</w:t>
            </w:r>
          </w:p>
        </w:tc>
        <w:tc>
          <w:tcPr>
            <w:tcW w:w="1080" w:type="dxa"/>
            <w:tcBorders>
              <w:top w:val="single" w:sz="4" w:space="0" w:color="auto"/>
              <w:left w:val="nil"/>
              <w:bottom w:val="single" w:sz="8" w:space="0" w:color="auto"/>
              <w:right w:val="nil"/>
            </w:tcBorders>
            <w:shd w:val="clear" w:color="000000" w:fill="F2F2F2"/>
            <w:noWrap/>
            <w:vAlign w:val="bottom"/>
            <w:hideMark/>
          </w:tcPr>
          <w:p w14:paraId="4887662B"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PD sämst</w:t>
            </w:r>
          </w:p>
        </w:tc>
        <w:tc>
          <w:tcPr>
            <w:tcW w:w="880" w:type="dxa"/>
            <w:tcBorders>
              <w:top w:val="single" w:sz="4" w:space="0" w:color="auto"/>
              <w:left w:val="nil"/>
              <w:bottom w:val="single" w:sz="8" w:space="0" w:color="auto"/>
              <w:right w:val="nil"/>
            </w:tcBorders>
            <w:shd w:val="clear" w:color="000000" w:fill="F2F2F2"/>
            <w:noWrap/>
            <w:vAlign w:val="bottom"/>
            <w:hideMark/>
          </w:tcPr>
          <w:p w14:paraId="0D674BD4"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PD bas</w:t>
            </w:r>
          </w:p>
        </w:tc>
        <w:tc>
          <w:tcPr>
            <w:tcW w:w="840" w:type="dxa"/>
            <w:tcBorders>
              <w:top w:val="single" w:sz="4" w:space="0" w:color="auto"/>
              <w:left w:val="nil"/>
              <w:bottom w:val="single" w:sz="8" w:space="0" w:color="auto"/>
              <w:right w:val="nil"/>
            </w:tcBorders>
            <w:shd w:val="clear" w:color="000000" w:fill="F2F2F2"/>
            <w:noWrap/>
            <w:vAlign w:val="bottom"/>
            <w:hideMark/>
          </w:tcPr>
          <w:p w14:paraId="4ED4AD13"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PD bäst</w:t>
            </w:r>
          </w:p>
        </w:tc>
        <w:tc>
          <w:tcPr>
            <w:tcW w:w="940" w:type="dxa"/>
            <w:tcBorders>
              <w:top w:val="single" w:sz="4" w:space="0" w:color="auto"/>
              <w:left w:val="nil"/>
              <w:bottom w:val="single" w:sz="8" w:space="0" w:color="auto"/>
              <w:right w:val="nil"/>
            </w:tcBorders>
            <w:shd w:val="clear" w:color="000000" w:fill="FFFFFF"/>
            <w:noWrap/>
            <w:vAlign w:val="bottom"/>
            <w:hideMark/>
          </w:tcPr>
          <w:p w14:paraId="5000A06C"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Tx sämst</w:t>
            </w:r>
          </w:p>
        </w:tc>
        <w:tc>
          <w:tcPr>
            <w:tcW w:w="920" w:type="dxa"/>
            <w:tcBorders>
              <w:top w:val="single" w:sz="4" w:space="0" w:color="auto"/>
              <w:left w:val="nil"/>
              <w:bottom w:val="single" w:sz="8" w:space="0" w:color="auto"/>
              <w:right w:val="nil"/>
            </w:tcBorders>
            <w:shd w:val="clear" w:color="000000" w:fill="FFFFFF"/>
            <w:noWrap/>
            <w:vAlign w:val="bottom"/>
            <w:hideMark/>
          </w:tcPr>
          <w:p w14:paraId="43172600"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Tx bas</w:t>
            </w:r>
          </w:p>
        </w:tc>
        <w:tc>
          <w:tcPr>
            <w:tcW w:w="940" w:type="dxa"/>
            <w:tcBorders>
              <w:top w:val="single" w:sz="4" w:space="0" w:color="auto"/>
              <w:left w:val="nil"/>
              <w:bottom w:val="single" w:sz="8" w:space="0" w:color="auto"/>
              <w:right w:val="nil"/>
            </w:tcBorders>
            <w:shd w:val="clear" w:color="000000" w:fill="FFFFFF"/>
            <w:noWrap/>
            <w:vAlign w:val="bottom"/>
            <w:hideMark/>
          </w:tcPr>
          <w:p w14:paraId="6A19B4E0"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Tx bäst</w:t>
            </w:r>
          </w:p>
        </w:tc>
      </w:tr>
      <w:tr w:rsidR="0072557C" w:rsidRPr="0072557C" w14:paraId="0EBC255F" w14:textId="77777777" w:rsidTr="0072557C">
        <w:trPr>
          <w:trHeight w:val="285"/>
        </w:trPr>
        <w:tc>
          <w:tcPr>
            <w:tcW w:w="740" w:type="dxa"/>
            <w:tcBorders>
              <w:top w:val="nil"/>
              <w:left w:val="nil"/>
              <w:bottom w:val="nil"/>
              <w:right w:val="nil"/>
            </w:tcBorders>
            <w:shd w:val="clear" w:color="000000" w:fill="FFFFFF"/>
            <w:noWrap/>
            <w:vAlign w:val="bottom"/>
            <w:hideMark/>
          </w:tcPr>
          <w:p w14:paraId="752808A8"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0</w:t>
            </w:r>
            <w:r w:rsidR="00F23D7D" w:rsidRPr="00F23D7D">
              <w:rPr>
                <w:rFonts w:ascii="Calibri" w:eastAsia="Times New Roman" w:hAnsi="Calibri" w:cs="Calibri"/>
                <w:b/>
                <w:bCs/>
                <w:color w:val="000000"/>
                <w:sz w:val="18"/>
                <w:szCs w:val="18"/>
              </w:rPr>
              <w:t xml:space="preserve"> (10)</w:t>
            </w:r>
          </w:p>
        </w:tc>
        <w:tc>
          <w:tcPr>
            <w:tcW w:w="1060" w:type="dxa"/>
            <w:tcBorders>
              <w:top w:val="nil"/>
              <w:left w:val="nil"/>
              <w:bottom w:val="nil"/>
              <w:right w:val="nil"/>
            </w:tcBorders>
            <w:shd w:val="clear" w:color="000000" w:fill="FFFFFF"/>
            <w:noWrap/>
            <w:vAlign w:val="bottom"/>
            <w:hideMark/>
          </w:tcPr>
          <w:p w14:paraId="1BE0FE28"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0,44</w:t>
            </w:r>
          </w:p>
        </w:tc>
        <w:tc>
          <w:tcPr>
            <w:tcW w:w="800" w:type="dxa"/>
            <w:tcBorders>
              <w:top w:val="nil"/>
              <w:left w:val="nil"/>
              <w:bottom w:val="nil"/>
              <w:right w:val="nil"/>
            </w:tcBorders>
            <w:shd w:val="clear" w:color="000000" w:fill="FFFFFF"/>
            <w:noWrap/>
            <w:vAlign w:val="bottom"/>
            <w:hideMark/>
          </w:tcPr>
          <w:p w14:paraId="21831861"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0,56</w:t>
            </w:r>
          </w:p>
        </w:tc>
        <w:tc>
          <w:tcPr>
            <w:tcW w:w="1060" w:type="dxa"/>
            <w:tcBorders>
              <w:top w:val="nil"/>
              <w:left w:val="nil"/>
              <w:bottom w:val="nil"/>
              <w:right w:val="nil"/>
            </w:tcBorders>
            <w:shd w:val="clear" w:color="000000" w:fill="FFFFFF"/>
            <w:noWrap/>
            <w:vAlign w:val="bottom"/>
            <w:hideMark/>
          </w:tcPr>
          <w:p w14:paraId="3D4AFE88"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0,69</w:t>
            </w:r>
          </w:p>
        </w:tc>
        <w:tc>
          <w:tcPr>
            <w:tcW w:w="1080" w:type="dxa"/>
            <w:tcBorders>
              <w:top w:val="nil"/>
              <w:left w:val="nil"/>
              <w:bottom w:val="nil"/>
              <w:right w:val="nil"/>
            </w:tcBorders>
            <w:shd w:val="clear" w:color="000000" w:fill="F2F2F2"/>
            <w:noWrap/>
            <w:vAlign w:val="bottom"/>
            <w:hideMark/>
          </w:tcPr>
          <w:p w14:paraId="01137137"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0,58</w:t>
            </w:r>
          </w:p>
        </w:tc>
        <w:tc>
          <w:tcPr>
            <w:tcW w:w="880" w:type="dxa"/>
            <w:tcBorders>
              <w:top w:val="nil"/>
              <w:left w:val="nil"/>
              <w:bottom w:val="nil"/>
              <w:right w:val="nil"/>
            </w:tcBorders>
            <w:shd w:val="clear" w:color="000000" w:fill="F2F2F2"/>
            <w:noWrap/>
            <w:vAlign w:val="bottom"/>
            <w:hideMark/>
          </w:tcPr>
          <w:p w14:paraId="61EAFB3C"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0,65</w:t>
            </w:r>
          </w:p>
        </w:tc>
        <w:tc>
          <w:tcPr>
            <w:tcW w:w="840" w:type="dxa"/>
            <w:tcBorders>
              <w:top w:val="nil"/>
              <w:left w:val="nil"/>
              <w:bottom w:val="nil"/>
              <w:right w:val="nil"/>
            </w:tcBorders>
            <w:shd w:val="clear" w:color="000000" w:fill="F2F2F2"/>
            <w:noWrap/>
            <w:vAlign w:val="bottom"/>
            <w:hideMark/>
          </w:tcPr>
          <w:p w14:paraId="0EB505BE"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0,72</w:t>
            </w:r>
          </w:p>
        </w:tc>
        <w:tc>
          <w:tcPr>
            <w:tcW w:w="940" w:type="dxa"/>
            <w:tcBorders>
              <w:top w:val="nil"/>
              <w:left w:val="nil"/>
              <w:bottom w:val="nil"/>
              <w:right w:val="nil"/>
            </w:tcBorders>
            <w:shd w:val="clear" w:color="000000" w:fill="FFFFFF"/>
            <w:noWrap/>
            <w:vAlign w:val="bottom"/>
            <w:hideMark/>
          </w:tcPr>
          <w:p w14:paraId="51A9F9E7"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0,81</w:t>
            </w:r>
          </w:p>
        </w:tc>
        <w:tc>
          <w:tcPr>
            <w:tcW w:w="920" w:type="dxa"/>
            <w:tcBorders>
              <w:top w:val="nil"/>
              <w:left w:val="nil"/>
              <w:bottom w:val="nil"/>
              <w:right w:val="nil"/>
            </w:tcBorders>
            <w:shd w:val="clear" w:color="000000" w:fill="FFFFFF"/>
            <w:noWrap/>
            <w:vAlign w:val="bottom"/>
            <w:hideMark/>
          </w:tcPr>
          <w:p w14:paraId="00E4EF62"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0,82</w:t>
            </w:r>
          </w:p>
        </w:tc>
        <w:tc>
          <w:tcPr>
            <w:tcW w:w="940" w:type="dxa"/>
            <w:tcBorders>
              <w:top w:val="nil"/>
              <w:left w:val="nil"/>
              <w:bottom w:val="nil"/>
              <w:right w:val="nil"/>
            </w:tcBorders>
            <w:shd w:val="clear" w:color="000000" w:fill="FFFFFF"/>
            <w:noWrap/>
            <w:vAlign w:val="bottom"/>
            <w:hideMark/>
          </w:tcPr>
          <w:p w14:paraId="69C03B9F"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0,86</w:t>
            </w:r>
          </w:p>
        </w:tc>
      </w:tr>
      <w:tr w:rsidR="0072557C" w:rsidRPr="0072557C" w14:paraId="614ED519" w14:textId="77777777" w:rsidTr="0072557C">
        <w:trPr>
          <w:trHeight w:val="285"/>
        </w:trPr>
        <w:tc>
          <w:tcPr>
            <w:tcW w:w="740" w:type="dxa"/>
            <w:tcBorders>
              <w:top w:val="nil"/>
              <w:left w:val="nil"/>
              <w:bottom w:val="nil"/>
              <w:right w:val="nil"/>
            </w:tcBorders>
            <w:shd w:val="clear" w:color="000000" w:fill="FFFFFF"/>
            <w:noWrap/>
            <w:vAlign w:val="bottom"/>
            <w:hideMark/>
          </w:tcPr>
          <w:p w14:paraId="62F26DF3"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1</w:t>
            </w:r>
            <w:r w:rsidR="00F23D7D" w:rsidRPr="00F23D7D">
              <w:rPr>
                <w:rFonts w:ascii="Calibri" w:eastAsia="Times New Roman" w:hAnsi="Calibri" w:cs="Calibri"/>
                <w:b/>
                <w:bCs/>
                <w:color w:val="000000"/>
                <w:sz w:val="18"/>
                <w:szCs w:val="18"/>
              </w:rPr>
              <w:t xml:space="preserve"> (11)</w:t>
            </w:r>
          </w:p>
        </w:tc>
        <w:tc>
          <w:tcPr>
            <w:tcW w:w="1060" w:type="dxa"/>
            <w:tcBorders>
              <w:top w:val="nil"/>
              <w:left w:val="nil"/>
              <w:bottom w:val="nil"/>
              <w:right w:val="nil"/>
            </w:tcBorders>
            <w:shd w:val="clear" w:color="000000" w:fill="FFFFFF"/>
            <w:noWrap/>
            <w:vAlign w:val="bottom"/>
            <w:hideMark/>
          </w:tcPr>
          <w:p w14:paraId="0970E536"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0,41</w:t>
            </w:r>
          </w:p>
        </w:tc>
        <w:tc>
          <w:tcPr>
            <w:tcW w:w="800" w:type="dxa"/>
            <w:tcBorders>
              <w:top w:val="nil"/>
              <w:left w:val="nil"/>
              <w:bottom w:val="nil"/>
              <w:right w:val="nil"/>
            </w:tcBorders>
            <w:shd w:val="clear" w:color="000000" w:fill="FFFFFF"/>
            <w:noWrap/>
            <w:vAlign w:val="bottom"/>
            <w:hideMark/>
          </w:tcPr>
          <w:p w14:paraId="4B160B9A"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0,53</w:t>
            </w:r>
          </w:p>
        </w:tc>
        <w:tc>
          <w:tcPr>
            <w:tcW w:w="1060" w:type="dxa"/>
            <w:tcBorders>
              <w:top w:val="nil"/>
              <w:left w:val="nil"/>
              <w:bottom w:val="nil"/>
              <w:right w:val="nil"/>
            </w:tcBorders>
            <w:shd w:val="clear" w:color="000000" w:fill="FFFFFF"/>
            <w:noWrap/>
            <w:vAlign w:val="bottom"/>
            <w:hideMark/>
          </w:tcPr>
          <w:p w14:paraId="27C7FB9F"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0,67</w:t>
            </w:r>
          </w:p>
        </w:tc>
        <w:tc>
          <w:tcPr>
            <w:tcW w:w="1080" w:type="dxa"/>
            <w:tcBorders>
              <w:top w:val="nil"/>
              <w:left w:val="nil"/>
              <w:bottom w:val="nil"/>
              <w:right w:val="nil"/>
            </w:tcBorders>
            <w:shd w:val="clear" w:color="000000" w:fill="F2F2F2"/>
            <w:noWrap/>
            <w:vAlign w:val="bottom"/>
            <w:hideMark/>
          </w:tcPr>
          <w:p w14:paraId="3E0CD316"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0,54</w:t>
            </w:r>
          </w:p>
        </w:tc>
        <w:tc>
          <w:tcPr>
            <w:tcW w:w="880" w:type="dxa"/>
            <w:tcBorders>
              <w:top w:val="nil"/>
              <w:left w:val="nil"/>
              <w:bottom w:val="nil"/>
              <w:right w:val="nil"/>
            </w:tcBorders>
            <w:shd w:val="clear" w:color="000000" w:fill="F2F2F2"/>
            <w:noWrap/>
            <w:vAlign w:val="bottom"/>
            <w:hideMark/>
          </w:tcPr>
          <w:p w14:paraId="0D0AC20C"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0,62</w:t>
            </w:r>
          </w:p>
        </w:tc>
        <w:tc>
          <w:tcPr>
            <w:tcW w:w="840" w:type="dxa"/>
            <w:tcBorders>
              <w:top w:val="nil"/>
              <w:left w:val="nil"/>
              <w:bottom w:val="nil"/>
              <w:right w:val="nil"/>
            </w:tcBorders>
            <w:shd w:val="clear" w:color="000000" w:fill="F2F2F2"/>
            <w:noWrap/>
            <w:vAlign w:val="bottom"/>
            <w:hideMark/>
          </w:tcPr>
          <w:p w14:paraId="70C2EBAC"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0,70</w:t>
            </w:r>
          </w:p>
        </w:tc>
        <w:tc>
          <w:tcPr>
            <w:tcW w:w="940" w:type="dxa"/>
            <w:tcBorders>
              <w:top w:val="nil"/>
              <w:left w:val="nil"/>
              <w:bottom w:val="nil"/>
              <w:right w:val="nil"/>
            </w:tcBorders>
            <w:shd w:val="clear" w:color="000000" w:fill="FFFFFF"/>
            <w:noWrap/>
            <w:vAlign w:val="bottom"/>
            <w:hideMark/>
          </w:tcPr>
          <w:p w14:paraId="00D810DC"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0,75</w:t>
            </w:r>
          </w:p>
        </w:tc>
        <w:tc>
          <w:tcPr>
            <w:tcW w:w="920" w:type="dxa"/>
            <w:tcBorders>
              <w:top w:val="nil"/>
              <w:left w:val="nil"/>
              <w:bottom w:val="nil"/>
              <w:right w:val="nil"/>
            </w:tcBorders>
            <w:shd w:val="clear" w:color="000000" w:fill="FFFFFF"/>
            <w:noWrap/>
            <w:vAlign w:val="bottom"/>
            <w:hideMark/>
          </w:tcPr>
          <w:p w14:paraId="7C0B86A2"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0,78</w:t>
            </w:r>
          </w:p>
        </w:tc>
        <w:tc>
          <w:tcPr>
            <w:tcW w:w="940" w:type="dxa"/>
            <w:tcBorders>
              <w:top w:val="nil"/>
              <w:left w:val="nil"/>
              <w:bottom w:val="nil"/>
              <w:right w:val="nil"/>
            </w:tcBorders>
            <w:shd w:val="clear" w:color="000000" w:fill="FFFFFF"/>
            <w:noWrap/>
            <w:vAlign w:val="bottom"/>
            <w:hideMark/>
          </w:tcPr>
          <w:p w14:paraId="6138F654"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0,83</w:t>
            </w:r>
          </w:p>
        </w:tc>
      </w:tr>
      <w:tr w:rsidR="0072557C" w:rsidRPr="0072557C" w14:paraId="7599E7A4" w14:textId="77777777" w:rsidTr="0072557C">
        <w:trPr>
          <w:trHeight w:val="285"/>
        </w:trPr>
        <w:tc>
          <w:tcPr>
            <w:tcW w:w="740" w:type="dxa"/>
            <w:tcBorders>
              <w:top w:val="nil"/>
              <w:left w:val="nil"/>
              <w:bottom w:val="nil"/>
              <w:right w:val="nil"/>
            </w:tcBorders>
            <w:shd w:val="clear" w:color="000000" w:fill="FFFFFF"/>
            <w:noWrap/>
            <w:vAlign w:val="bottom"/>
            <w:hideMark/>
          </w:tcPr>
          <w:p w14:paraId="2851FF18"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2</w:t>
            </w:r>
            <w:r w:rsidR="00F23D7D" w:rsidRPr="00F23D7D">
              <w:rPr>
                <w:rFonts w:ascii="Calibri" w:eastAsia="Times New Roman" w:hAnsi="Calibri" w:cs="Calibri"/>
                <w:b/>
                <w:bCs/>
                <w:color w:val="000000"/>
                <w:sz w:val="18"/>
                <w:szCs w:val="18"/>
              </w:rPr>
              <w:t xml:space="preserve"> (12)</w:t>
            </w:r>
          </w:p>
        </w:tc>
        <w:tc>
          <w:tcPr>
            <w:tcW w:w="1060" w:type="dxa"/>
            <w:tcBorders>
              <w:top w:val="nil"/>
              <w:left w:val="nil"/>
              <w:bottom w:val="nil"/>
              <w:right w:val="nil"/>
            </w:tcBorders>
            <w:shd w:val="clear" w:color="000000" w:fill="FFFFFF"/>
            <w:noWrap/>
            <w:vAlign w:val="bottom"/>
            <w:hideMark/>
          </w:tcPr>
          <w:p w14:paraId="6CB3FB7B"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0,38</w:t>
            </w:r>
          </w:p>
        </w:tc>
        <w:tc>
          <w:tcPr>
            <w:tcW w:w="800" w:type="dxa"/>
            <w:tcBorders>
              <w:top w:val="nil"/>
              <w:left w:val="nil"/>
              <w:bottom w:val="nil"/>
              <w:right w:val="nil"/>
            </w:tcBorders>
            <w:shd w:val="clear" w:color="000000" w:fill="FFFFFF"/>
            <w:noWrap/>
            <w:vAlign w:val="bottom"/>
            <w:hideMark/>
          </w:tcPr>
          <w:p w14:paraId="4FC38DA0"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0,51</w:t>
            </w:r>
          </w:p>
        </w:tc>
        <w:tc>
          <w:tcPr>
            <w:tcW w:w="1060" w:type="dxa"/>
            <w:tcBorders>
              <w:top w:val="nil"/>
              <w:left w:val="nil"/>
              <w:bottom w:val="nil"/>
              <w:right w:val="nil"/>
            </w:tcBorders>
            <w:shd w:val="clear" w:color="000000" w:fill="FFFFFF"/>
            <w:noWrap/>
            <w:vAlign w:val="bottom"/>
            <w:hideMark/>
          </w:tcPr>
          <w:p w14:paraId="1C1D1B5A"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0,65</w:t>
            </w:r>
          </w:p>
        </w:tc>
        <w:tc>
          <w:tcPr>
            <w:tcW w:w="1080" w:type="dxa"/>
            <w:tcBorders>
              <w:top w:val="nil"/>
              <w:left w:val="nil"/>
              <w:bottom w:val="nil"/>
              <w:right w:val="nil"/>
            </w:tcBorders>
            <w:shd w:val="clear" w:color="000000" w:fill="F2F2F2"/>
            <w:noWrap/>
            <w:vAlign w:val="bottom"/>
            <w:hideMark/>
          </w:tcPr>
          <w:p w14:paraId="23AF1893"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0,50</w:t>
            </w:r>
          </w:p>
        </w:tc>
        <w:tc>
          <w:tcPr>
            <w:tcW w:w="880" w:type="dxa"/>
            <w:tcBorders>
              <w:top w:val="nil"/>
              <w:left w:val="nil"/>
              <w:bottom w:val="nil"/>
              <w:right w:val="nil"/>
            </w:tcBorders>
            <w:shd w:val="clear" w:color="000000" w:fill="F2F2F2"/>
            <w:noWrap/>
            <w:vAlign w:val="bottom"/>
            <w:hideMark/>
          </w:tcPr>
          <w:p w14:paraId="0F4E80D1"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0,59</w:t>
            </w:r>
          </w:p>
        </w:tc>
        <w:tc>
          <w:tcPr>
            <w:tcW w:w="840" w:type="dxa"/>
            <w:tcBorders>
              <w:top w:val="nil"/>
              <w:left w:val="nil"/>
              <w:bottom w:val="nil"/>
              <w:right w:val="nil"/>
            </w:tcBorders>
            <w:shd w:val="clear" w:color="000000" w:fill="F2F2F2"/>
            <w:noWrap/>
            <w:vAlign w:val="bottom"/>
            <w:hideMark/>
          </w:tcPr>
          <w:p w14:paraId="51B09B5B"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0,68</w:t>
            </w:r>
          </w:p>
        </w:tc>
        <w:tc>
          <w:tcPr>
            <w:tcW w:w="940" w:type="dxa"/>
            <w:tcBorders>
              <w:top w:val="nil"/>
              <w:left w:val="nil"/>
              <w:bottom w:val="nil"/>
              <w:right w:val="nil"/>
            </w:tcBorders>
            <w:shd w:val="clear" w:color="000000" w:fill="FFFFFF"/>
            <w:noWrap/>
            <w:vAlign w:val="bottom"/>
            <w:hideMark/>
          </w:tcPr>
          <w:p w14:paraId="7F44CC32"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0,70</w:t>
            </w:r>
          </w:p>
        </w:tc>
        <w:tc>
          <w:tcPr>
            <w:tcW w:w="920" w:type="dxa"/>
            <w:tcBorders>
              <w:top w:val="nil"/>
              <w:left w:val="nil"/>
              <w:bottom w:val="nil"/>
              <w:right w:val="nil"/>
            </w:tcBorders>
            <w:shd w:val="clear" w:color="000000" w:fill="FFFFFF"/>
            <w:noWrap/>
            <w:vAlign w:val="bottom"/>
            <w:hideMark/>
          </w:tcPr>
          <w:p w14:paraId="0D5A87B6"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0,74</w:t>
            </w:r>
          </w:p>
        </w:tc>
        <w:tc>
          <w:tcPr>
            <w:tcW w:w="940" w:type="dxa"/>
            <w:tcBorders>
              <w:top w:val="nil"/>
              <w:left w:val="nil"/>
              <w:bottom w:val="nil"/>
              <w:right w:val="nil"/>
            </w:tcBorders>
            <w:shd w:val="clear" w:color="000000" w:fill="FFFFFF"/>
            <w:noWrap/>
            <w:vAlign w:val="bottom"/>
            <w:hideMark/>
          </w:tcPr>
          <w:p w14:paraId="65151A2C"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0,81</w:t>
            </w:r>
          </w:p>
        </w:tc>
      </w:tr>
      <w:tr w:rsidR="0072557C" w:rsidRPr="0072557C" w14:paraId="6A2CE934" w14:textId="77777777" w:rsidTr="0072557C">
        <w:trPr>
          <w:trHeight w:val="285"/>
        </w:trPr>
        <w:tc>
          <w:tcPr>
            <w:tcW w:w="740" w:type="dxa"/>
            <w:tcBorders>
              <w:top w:val="nil"/>
              <w:left w:val="nil"/>
              <w:bottom w:val="nil"/>
              <w:right w:val="nil"/>
            </w:tcBorders>
            <w:shd w:val="clear" w:color="000000" w:fill="FFFFFF"/>
            <w:noWrap/>
            <w:vAlign w:val="bottom"/>
            <w:hideMark/>
          </w:tcPr>
          <w:p w14:paraId="2C5880BB"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5</w:t>
            </w:r>
            <w:r w:rsidR="00F23D7D" w:rsidRPr="00F23D7D">
              <w:rPr>
                <w:rFonts w:ascii="Calibri" w:eastAsia="Times New Roman" w:hAnsi="Calibri" w:cs="Calibri"/>
                <w:b/>
                <w:bCs/>
                <w:color w:val="000000"/>
                <w:sz w:val="18"/>
                <w:szCs w:val="18"/>
              </w:rPr>
              <w:t xml:space="preserve"> (15)</w:t>
            </w:r>
          </w:p>
        </w:tc>
        <w:tc>
          <w:tcPr>
            <w:tcW w:w="1060" w:type="dxa"/>
            <w:tcBorders>
              <w:top w:val="nil"/>
              <w:left w:val="nil"/>
              <w:bottom w:val="nil"/>
              <w:right w:val="nil"/>
            </w:tcBorders>
            <w:shd w:val="clear" w:color="000000" w:fill="FFFFFF"/>
            <w:noWrap/>
            <w:vAlign w:val="bottom"/>
            <w:hideMark/>
          </w:tcPr>
          <w:p w14:paraId="5A4F4D0A"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0,31</w:t>
            </w:r>
          </w:p>
        </w:tc>
        <w:tc>
          <w:tcPr>
            <w:tcW w:w="800" w:type="dxa"/>
            <w:tcBorders>
              <w:top w:val="nil"/>
              <w:left w:val="nil"/>
              <w:bottom w:val="nil"/>
              <w:right w:val="nil"/>
            </w:tcBorders>
            <w:shd w:val="clear" w:color="000000" w:fill="FFFFFF"/>
            <w:noWrap/>
            <w:vAlign w:val="bottom"/>
            <w:hideMark/>
          </w:tcPr>
          <w:p w14:paraId="2F4B60EF"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0,43</w:t>
            </w:r>
          </w:p>
        </w:tc>
        <w:tc>
          <w:tcPr>
            <w:tcW w:w="1060" w:type="dxa"/>
            <w:tcBorders>
              <w:top w:val="nil"/>
              <w:left w:val="nil"/>
              <w:bottom w:val="nil"/>
              <w:right w:val="nil"/>
            </w:tcBorders>
            <w:shd w:val="clear" w:color="000000" w:fill="FFFFFF"/>
            <w:noWrap/>
            <w:vAlign w:val="bottom"/>
            <w:hideMark/>
          </w:tcPr>
          <w:p w14:paraId="79D284AA"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0,56</w:t>
            </w:r>
          </w:p>
        </w:tc>
        <w:tc>
          <w:tcPr>
            <w:tcW w:w="1080" w:type="dxa"/>
            <w:tcBorders>
              <w:top w:val="nil"/>
              <w:left w:val="nil"/>
              <w:bottom w:val="nil"/>
              <w:right w:val="nil"/>
            </w:tcBorders>
            <w:shd w:val="clear" w:color="000000" w:fill="F2F2F2"/>
            <w:noWrap/>
            <w:vAlign w:val="bottom"/>
            <w:hideMark/>
          </w:tcPr>
          <w:p w14:paraId="1C3877C7"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0,40</w:t>
            </w:r>
          </w:p>
        </w:tc>
        <w:tc>
          <w:tcPr>
            <w:tcW w:w="880" w:type="dxa"/>
            <w:tcBorders>
              <w:top w:val="nil"/>
              <w:left w:val="nil"/>
              <w:bottom w:val="nil"/>
              <w:right w:val="nil"/>
            </w:tcBorders>
            <w:shd w:val="clear" w:color="000000" w:fill="F2F2F2"/>
            <w:noWrap/>
            <w:vAlign w:val="bottom"/>
            <w:hideMark/>
          </w:tcPr>
          <w:p w14:paraId="3D57D73F"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0,50</w:t>
            </w:r>
          </w:p>
        </w:tc>
        <w:tc>
          <w:tcPr>
            <w:tcW w:w="840" w:type="dxa"/>
            <w:tcBorders>
              <w:top w:val="nil"/>
              <w:left w:val="nil"/>
              <w:bottom w:val="nil"/>
              <w:right w:val="nil"/>
            </w:tcBorders>
            <w:shd w:val="clear" w:color="000000" w:fill="F2F2F2"/>
            <w:noWrap/>
            <w:vAlign w:val="bottom"/>
            <w:hideMark/>
          </w:tcPr>
          <w:p w14:paraId="6DE97070"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0,58</w:t>
            </w:r>
          </w:p>
        </w:tc>
        <w:tc>
          <w:tcPr>
            <w:tcW w:w="940" w:type="dxa"/>
            <w:tcBorders>
              <w:top w:val="nil"/>
              <w:left w:val="nil"/>
              <w:bottom w:val="nil"/>
              <w:right w:val="nil"/>
            </w:tcBorders>
            <w:shd w:val="clear" w:color="000000" w:fill="FFFFFF"/>
            <w:noWrap/>
            <w:vAlign w:val="bottom"/>
            <w:hideMark/>
          </w:tcPr>
          <w:p w14:paraId="2F8B6FC0"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0,56</w:t>
            </w:r>
          </w:p>
        </w:tc>
        <w:tc>
          <w:tcPr>
            <w:tcW w:w="920" w:type="dxa"/>
            <w:tcBorders>
              <w:top w:val="nil"/>
              <w:left w:val="nil"/>
              <w:bottom w:val="nil"/>
              <w:right w:val="nil"/>
            </w:tcBorders>
            <w:shd w:val="clear" w:color="000000" w:fill="FFFFFF"/>
            <w:noWrap/>
            <w:vAlign w:val="bottom"/>
            <w:hideMark/>
          </w:tcPr>
          <w:p w14:paraId="134AE45B"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0,63</w:t>
            </w:r>
          </w:p>
        </w:tc>
        <w:tc>
          <w:tcPr>
            <w:tcW w:w="940" w:type="dxa"/>
            <w:tcBorders>
              <w:top w:val="nil"/>
              <w:left w:val="nil"/>
              <w:bottom w:val="nil"/>
              <w:right w:val="nil"/>
            </w:tcBorders>
            <w:shd w:val="clear" w:color="000000" w:fill="FFFFFF"/>
            <w:noWrap/>
            <w:vAlign w:val="bottom"/>
            <w:hideMark/>
          </w:tcPr>
          <w:p w14:paraId="3B27351A"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0,74</w:t>
            </w:r>
          </w:p>
        </w:tc>
      </w:tr>
      <w:tr w:rsidR="0072557C" w:rsidRPr="0072557C" w14:paraId="6C3ED2E2" w14:textId="77777777" w:rsidTr="0072557C">
        <w:trPr>
          <w:trHeight w:val="293"/>
        </w:trPr>
        <w:tc>
          <w:tcPr>
            <w:tcW w:w="740" w:type="dxa"/>
            <w:tcBorders>
              <w:top w:val="nil"/>
              <w:left w:val="nil"/>
              <w:bottom w:val="single" w:sz="8" w:space="0" w:color="auto"/>
              <w:right w:val="nil"/>
            </w:tcBorders>
            <w:shd w:val="clear" w:color="000000" w:fill="FFFFFF"/>
            <w:noWrap/>
            <w:vAlign w:val="bottom"/>
            <w:hideMark/>
          </w:tcPr>
          <w:p w14:paraId="57FB6A06" w14:textId="77777777" w:rsidR="0072557C" w:rsidRPr="0072557C" w:rsidRDefault="0072557C" w:rsidP="00543199">
            <w:pPr>
              <w:spacing w:after="0" w:line="240" w:lineRule="auto"/>
              <w:jc w:val="center"/>
              <w:rPr>
                <w:rFonts w:ascii="Calibri" w:eastAsia="Times New Roman" w:hAnsi="Calibri" w:cs="Calibri"/>
                <w:b/>
                <w:bCs/>
                <w:color w:val="000000"/>
                <w:sz w:val="18"/>
                <w:szCs w:val="18"/>
              </w:rPr>
            </w:pPr>
            <w:r w:rsidRPr="0072557C">
              <w:rPr>
                <w:rFonts w:ascii="Calibri" w:eastAsia="Times New Roman" w:hAnsi="Calibri" w:cs="Calibri"/>
                <w:b/>
                <w:bCs/>
                <w:color w:val="000000"/>
                <w:sz w:val="18"/>
                <w:szCs w:val="18"/>
              </w:rPr>
              <w:t>10</w:t>
            </w:r>
            <w:r w:rsidR="00F23D7D">
              <w:rPr>
                <w:rFonts w:ascii="Calibri" w:eastAsia="Times New Roman" w:hAnsi="Calibri" w:cs="Calibri"/>
                <w:b/>
                <w:bCs/>
                <w:color w:val="000000"/>
                <w:sz w:val="18"/>
                <w:szCs w:val="18"/>
              </w:rPr>
              <w:t xml:space="preserve"> </w:t>
            </w:r>
            <w:r w:rsidR="00F23D7D" w:rsidRPr="00F23D7D">
              <w:rPr>
                <w:rFonts w:ascii="Calibri" w:eastAsia="Times New Roman" w:hAnsi="Calibri" w:cs="Calibri"/>
                <w:b/>
                <w:bCs/>
                <w:color w:val="000000"/>
                <w:sz w:val="18"/>
                <w:szCs w:val="18"/>
              </w:rPr>
              <w:t>(20)</w:t>
            </w:r>
          </w:p>
        </w:tc>
        <w:tc>
          <w:tcPr>
            <w:tcW w:w="1060" w:type="dxa"/>
            <w:tcBorders>
              <w:top w:val="nil"/>
              <w:left w:val="nil"/>
              <w:bottom w:val="single" w:sz="8" w:space="0" w:color="auto"/>
              <w:right w:val="nil"/>
            </w:tcBorders>
            <w:shd w:val="clear" w:color="000000" w:fill="FFFFFF"/>
            <w:noWrap/>
            <w:vAlign w:val="bottom"/>
            <w:hideMark/>
          </w:tcPr>
          <w:p w14:paraId="631F44DD"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0,21</w:t>
            </w:r>
          </w:p>
        </w:tc>
        <w:tc>
          <w:tcPr>
            <w:tcW w:w="800" w:type="dxa"/>
            <w:tcBorders>
              <w:top w:val="nil"/>
              <w:left w:val="nil"/>
              <w:bottom w:val="single" w:sz="8" w:space="0" w:color="auto"/>
              <w:right w:val="nil"/>
            </w:tcBorders>
            <w:shd w:val="clear" w:color="000000" w:fill="FFFFFF"/>
            <w:noWrap/>
            <w:vAlign w:val="bottom"/>
            <w:hideMark/>
          </w:tcPr>
          <w:p w14:paraId="41A1C693"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0,34</w:t>
            </w:r>
          </w:p>
        </w:tc>
        <w:tc>
          <w:tcPr>
            <w:tcW w:w="1060" w:type="dxa"/>
            <w:tcBorders>
              <w:top w:val="nil"/>
              <w:left w:val="nil"/>
              <w:bottom w:val="single" w:sz="8" w:space="0" w:color="auto"/>
              <w:right w:val="nil"/>
            </w:tcBorders>
            <w:shd w:val="clear" w:color="000000" w:fill="FFFFFF"/>
            <w:noWrap/>
            <w:vAlign w:val="bottom"/>
            <w:hideMark/>
          </w:tcPr>
          <w:p w14:paraId="764BCBA4"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0,48</w:t>
            </w:r>
          </w:p>
        </w:tc>
        <w:tc>
          <w:tcPr>
            <w:tcW w:w="1080" w:type="dxa"/>
            <w:tcBorders>
              <w:top w:val="nil"/>
              <w:left w:val="nil"/>
              <w:bottom w:val="single" w:sz="8" w:space="0" w:color="auto"/>
              <w:right w:val="nil"/>
            </w:tcBorders>
            <w:shd w:val="clear" w:color="000000" w:fill="F2F2F2"/>
            <w:noWrap/>
            <w:vAlign w:val="bottom"/>
            <w:hideMark/>
          </w:tcPr>
          <w:p w14:paraId="54D05567"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0,28</w:t>
            </w:r>
          </w:p>
        </w:tc>
        <w:tc>
          <w:tcPr>
            <w:tcW w:w="880" w:type="dxa"/>
            <w:tcBorders>
              <w:top w:val="nil"/>
              <w:left w:val="nil"/>
              <w:bottom w:val="single" w:sz="8" w:space="0" w:color="auto"/>
              <w:right w:val="nil"/>
            </w:tcBorders>
            <w:shd w:val="clear" w:color="000000" w:fill="F2F2F2"/>
            <w:noWrap/>
            <w:vAlign w:val="bottom"/>
            <w:hideMark/>
          </w:tcPr>
          <w:p w14:paraId="57692FF3"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0,39</w:t>
            </w:r>
          </w:p>
        </w:tc>
        <w:tc>
          <w:tcPr>
            <w:tcW w:w="840" w:type="dxa"/>
            <w:tcBorders>
              <w:top w:val="nil"/>
              <w:left w:val="nil"/>
              <w:bottom w:val="single" w:sz="8" w:space="0" w:color="auto"/>
              <w:right w:val="nil"/>
            </w:tcBorders>
            <w:shd w:val="clear" w:color="000000" w:fill="F2F2F2"/>
            <w:noWrap/>
            <w:vAlign w:val="bottom"/>
            <w:hideMark/>
          </w:tcPr>
          <w:p w14:paraId="79616DD1"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0,50</w:t>
            </w:r>
          </w:p>
        </w:tc>
        <w:tc>
          <w:tcPr>
            <w:tcW w:w="940" w:type="dxa"/>
            <w:tcBorders>
              <w:top w:val="nil"/>
              <w:left w:val="nil"/>
              <w:bottom w:val="single" w:sz="8" w:space="0" w:color="auto"/>
              <w:right w:val="nil"/>
            </w:tcBorders>
            <w:shd w:val="clear" w:color="000000" w:fill="FFFFFF"/>
            <w:noWrap/>
            <w:vAlign w:val="bottom"/>
            <w:hideMark/>
          </w:tcPr>
          <w:p w14:paraId="29BEE463"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0,39</w:t>
            </w:r>
          </w:p>
        </w:tc>
        <w:tc>
          <w:tcPr>
            <w:tcW w:w="920" w:type="dxa"/>
            <w:tcBorders>
              <w:top w:val="nil"/>
              <w:left w:val="nil"/>
              <w:bottom w:val="single" w:sz="8" w:space="0" w:color="auto"/>
              <w:right w:val="nil"/>
            </w:tcBorders>
            <w:shd w:val="clear" w:color="000000" w:fill="FFFFFF"/>
            <w:noWrap/>
            <w:vAlign w:val="bottom"/>
            <w:hideMark/>
          </w:tcPr>
          <w:p w14:paraId="1B4C6E60"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0,49</w:t>
            </w:r>
          </w:p>
        </w:tc>
        <w:tc>
          <w:tcPr>
            <w:tcW w:w="940" w:type="dxa"/>
            <w:tcBorders>
              <w:top w:val="nil"/>
              <w:left w:val="nil"/>
              <w:bottom w:val="single" w:sz="8" w:space="0" w:color="auto"/>
              <w:right w:val="nil"/>
            </w:tcBorders>
            <w:shd w:val="clear" w:color="000000" w:fill="FFFFFF"/>
            <w:noWrap/>
            <w:vAlign w:val="bottom"/>
            <w:hideMark/>
          </w:tcPr>
          <w:p w14:paraId="5E332C7E" w14:textId="77777777" w:rsidR="0072557C" w:rsidRPr="0072557C" w:rsidRDefault="0072557C" w:rsidP="00543199">
            <w:pPr>
              <w:spacing w:after="0" w:line="240" w:lineRule="auto"/>
              <w:jc w:val="center"/>
              <w:rPr>
                <w:rFonts w:ascii="Calibri" w:eastAsia="Times New Roman" w:hAnsi="Calibri" w:cs="Calibri"/>
                <w:color w:val="000000"/>
                <w:sz w:val="18"/>
                <w:szCs w:val="18"/>
              </w:rPr>
            </w:pPr>
            <w:r w:rsidRPr="0072557C">
              <w:rPr>
                <w:rFonts w:ascii="Calibri" w:eastAsia="Times New Roman" w:hAnsi="Calibri" w:cs="Calibri"/>
                <w:color w:val="000000"/>
                <w:sz w:val="18"/>
                <w:szCs w:val="18"/>
              </w:rPr>
              <w:t>0,63</w:t>
            </w:r>
          </w:p>
        </w:tc>
      </w:tr>
    </w:tbl>
    <w:p w14:paraId="412D24A2" w14:textId="77777777" w:rsidR="008F4167" w:rsidRDefault="0072557C" w:rsidP="008F4167">
      <w:r w:rsidRPr="0072557C">
        <w:rPr>
          <w:b/>
          <w:sz w:val="16"/>
          <w:szCs w:val="16"/>
        </w:rPr>
        <w:t>Tabell</w:t>
      </w:r>
      <w:r w:rsidR="00345E5D">
        <w:rPr>
          <w:b/>
          <w:sz w:val="16"/>
          <w:szCs w:val="16"/>
        </w:rPr>
        <w:t xml:space="preserve"> </w:t>
      </w:r>
      <w:r w:rsidRPr="0072557C">
        <w:rPr>
          <w:b/>
          <w:sz w:val="16"/>
          <w:szCs w:val="16"/>
        </w:rPr>
        <w:t>2</w:t>
      </w:r>
      <w:r w:rsidRPr="0072557C">
        <w:rPr>
          <w:sz w:val="16"/>
          <w:szCs w:val="16"/>
        </w:rPr>
        <w:t>: QALY för haemodialys, peritonealdialys och t</w:t>
      </w:r>
      <w:r>
        <w:rPr>
          <w:sz w:val="16"/>
          <w:szCs w:val="16"/>
        </w:rPr>
        <w:t>ransplantation för åren 0, 1, 2</w:t>
      </w:r>
      <w:r w:rsidRPr="0072557C">
        <w:rPr>
          <w:sz w:val="16"/>
          <w:szCs w:val="16"/>
        </w:rPr>
        <w:t xml:space="preserve">, 5 och 10. </w:t>
      </w:r>
      <w:r w:rsidR="00F23D7D">
        <w:rPr>
          <w:sz w:val="16"/>
          <w:szCs w:val="16"/>
        </w:rPr>
        <w:t>Siffran inom parentes är året efter starten av uremivården.</w:t>
      </w:r>
      <w:r w:rsidR="00FF5B17">
        <w:t xml:space="preserve"> </w:t>
      </w:r>
    </w:p>
    <w:p w14:paraId="7BE3307E" w14:textId="77777777" w:rsidR="00964B20" w:rsidRDefault="00964B20" w:rsidP="008F4167">
      <w:pPr>
        <w:rPr>
          <w:sz w:val="16"/>
          <w:szCs w:val="16"/>
        </w:rPr>
      </w:pPr>
      <w:r>
        <w:rPr>
          <w:noProof/>
          <w:lang w:eastAsia="sv-SE"/>
        </w:rPr>
        <w:drawing>
          <wp:inline distT="0" distB="0" distL="0" distR="0" wp14:anchorId="25E3EDB5" wp14:editId="34230781">
            <wp:extent cx="2591522" cy="2080151"/>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940A84-4CA4-497A-A419-1CE9285ED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E4F6F">
        <w:rPr>
          <w:noProof/>
          <w:lang w:eastAsia="sv-SE"/>
        </w:rPr>
        <w:drawing>
          <wp:inline distT="0" distB="0" distL="0" distR="0" wp14:anchorId="3EE3B608" wp14:editId="40CB2666">
            <wp:extent cx="3086100" cy="2057400"/>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11E173-9939-4A23-94DD-016956D45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C84337" w14:textId="77777777" w:rsidR="000E4F6F" w:rsidRDefault="000E4F6F" w:rsidP="000E4F6F">
      <w:pPr>
        <w:jc w:val="center"/>
        <w:rPr>
          <w:sz w:val="16"/>
          <w:szCs w:val="16"/>
        </w:rPr>
      </w:pPr>
      <w:r>
        <w:rPr>
          <w:noProof/>
          <w:lang w:eastAsia="sv-SE"/>
        </w:rPr>
        <w:drawing>
          <wp:inline distT="0" distB="0" distL="0" distR="0" wp14:anchorId="4C8CFA8F" wp14:editId="5775222E">
            <wp:extent cx="4697676" cy="1941475"/>
            <wp:effectExtent l="0" t="0" r="8255" b="1905"/>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E46662-03A9-4724-8B65-2748D654A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C76F1E" w14:textId="77777777" w:rsidR="00BB1F21" w:rsidRDefault="00BB1F21" w:rsidP="00BB1F21">
      <w:pPr>
        <w:rPr>
          <w:sz w:val="16"/>
          <w:szCs w:val="16"/>
        </w:rPr>
      </w:pPr>
      <w:r>
        <w:rPr>
          <w:sz w:val="16"/>
          <w:szCs w:val="16"/>
        </w:rPr>
        <w:t xml:space="preserve">Figur: Graferna visar hur QALY-värdena sjunker över tid för de olika behandlingsformerna. </w:t>
      </w:r>
    </w:p>
    <w:p w14:paraId="43FEBF72" w14:textId="77777777" w:rsidR="00533B0F" w:rsidRPr="00F23D7D" w:rsidRDefault="00533B0F" w:rsidP="00BB1F21">
      <w:pPr>
        <w:rPr>
          <w:sz w:val="16"/>
          <w:szCs w:val="16"/>
        </w:rPr>
      </w:pPr>
    </w:p>
    <w:p w14:paraId="1F034179" w14:textId="77777777" w:rsidR="00D75898" w:rsidRDefault="00D75898" w:rsidP="00D75898">
      <w:pPr>
        <w:pStyle w:val="Rubrik3"/>
      </w:pPr>
      <w:bookmarkStart w:id="6" w:name="_Toc474824364"/>
      <w:r w:rsidRPr="00CA0A47">
        <w:rPr>
          <w:color w:val="FF0000"/>
        </w:rPr>
        <w:t>Patien</w:t>
      </w:r>
      <w:r w:rsidR="008F4167" w:rsidRPr="00CA0A47">
        <w:rPr>
          <w:color w:val="FF0000"/>
        </w:rPr>
        <w:t>t</w:t>
      </w:r>
      <w:r w:rsidRPr="00CA0A47">
        <w:rPr>
          <w:color w:val="FF0000"/>
        </w:rPr>
        <w:t>överlevnad</w:t>
      </w:r>
      <w:bookmarkEnd w:id="6"/>
    </w:p>
    <w:p w14:paraId="5AF37641" w14:textId="552EC849" w:rsidR="00267071" w:rsidRDefault="00CF7773" w:rsidP="008F4167">
      <w:r>
        <w:t xml:space="preserve">ERA-EDTA Registret ger årligen ut överlevnadsstatistik för dialys- och transplanterade patienter. Analysen i denna rapport baserar sig på statistiken från Survival Report 2014. </w:t>
      </w:r>
      <w:r w:rsidR="00D26BBC">
        <w:t xml:space="preserve">I </w:t>
      </w:r>
      <w:r w:rsidR="005004EE">
        <w:t xml:space="preserve">rapporten </w:t>
      </w:r>
      <w:r w:rsidR="00D26BBC">
        <w:t xml:space="preserve">ges patientöverlevnaden </w:t>
      </w:r>
      <w:r w:rsidR="00373A2B">
        <w:t>år 0, 1 och 5 efter start av dialys och efter transplantation. Ef</w:t>
      </w:r>
      <w:r w:rsidR="00F514B4">
        <w:t xml:space="preserve">tersom vi har för avsikt att se de ekonomiska följderna av införandet upp till 10 år efter behandlingsstarten behöver vi göra en uppskattning av patientöverlevnaden för denna tidshorisont. </w:t>
      </w:r>
    </w:p>
    <w:p w14:paraId="490C7766" w14:textId="77777777" w:rsidR="00533B0F" w:rsidRDefault="00533B0F" w:rsidP="008F4167"/>
    <w:tbl>
      <w:tblPr>
        <w:tblW w:w="5214" w:type="dxa"/>
        <w:jc w:val="center"/>
        <w:tblCellMar>
          <w:left w:w="70" w:type="dxa"/>
          <w:right w:w="70" w:type="dxa"/>
        </w:tblCellMar>
        <w:tblLook w:val="04A0" w:firstRow="1" w:lastRow="0" w:firstColumn="1" w:lastColumn="0" w:noHBand="0" w:noVBand="1"/>
      </w:tblPr>
      <w:tblGrid>
        <w:gridCol w:w="1134"/>
        <w:gridCol w:w="1020"/>
        <w:gridCol w:w="1020"/>
        <w:gridCol w:w="1020"/>
        <w:gridCol w:w="1020"/>
      </w:tblGrid>
      <w:tr w:rsidR="00267071" w:rsidRPr="00267071" w14:paraId="546AFEAF" w14:textId="77777777" w:rsidTr="00267071">
        <w:trPr>
          <w:trHeight w:val="293"/>
          <w:jc w:val="center"/>
        </w:trPr>
        <w:tc>
          <w:tcPr>
            <w:tcW w:w="1134" w:type="dxa"/>
            <w:tcBorders>
              <w:top w:val="single" w:sz="4" w:space="0" w:color="auto"/>
              <w:left w:val="nil"/>
              <w:bottom w:val="single" w:sz="8" w:space="0" w:color="auto"/>
              <w:right w:val="nil"/>
            </w:tcBorders>
            <w:shd w:val="clear" w:color="000000" w:fill="FFFFFF"/>
            <w:noWrap/>
            <w:vAlign w:val="bottom"/>
            <w:hideMark/>
          </w:tcPr>
          <w:p w14:paraId="7E4D7172"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Åldersklass</w:t>
            </w:r>
          </w:p>
        </w:tc>
        <w:tc>
          <w:tcPr>
            <w:tcW w:w="1020" w:type="dxa"/>
            <w:tcBorders>
              <w:top w:val="single" w:sz="4" w:space="0" w:color="auto"/>
              <w:left w:val="nil"/>
              <w:bottom w:val="single" w:sz="8" w:space="0" w:color="auto"/>
              <w:right w:val="nil"/>
            </w:tcBorders>
            <w:shd w:val="clear" w:color="000000" w:fill="FFFFFF"/>
            <w:noWrap/>
            <w:vAlign w:val="bottom"/>
            <w:hideMark/>
          </w:tcPr>
          <w:p w14:paraId="7C062A1B"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1</w:t>
            </w:r>
          </w:p>
        </w:tc>
        <w:tc>
          <w:tcPr>
            <w:tcW w:w="1020" w:type="dxa"/>
            <w:tcBorders>
              <w:top w:val="single" w:sz="4" w:space="0" w:color="auto"/>
              <w:left w:val="nil"/>
              <w:bottom w:val="single" w:sz="8" w:space="0" w:color="auto"/>
              <w:right w:val="nil"/>
            </w:tcBorders>
            <w:shd w:val="clear" w:color="000000" w:fill="FFFFFF"/>
            <w:noWrap/>
            <w:vAlign w:val="bottom"/>
            <w:hideMark/>
          </w:tcPr>
          <w:p w14:paraId="138A4C37"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2</w:t>
            </w:r>
          </w:p>
        </w:tc>
        <w:tc>
          <w:tcPr>
            <w:tcW w:w="1020" w:type="dxa"/>
            <w:tcBorders>
              <w:top w:val="single" w:sz="4" w:space="0" w:color="auto"/>
              <w:left w:val="nil"/>
              <w:bottom w:val="single" w:sz="8" w:space="0" w:color="auto"/>
              <w:right w:val="nil"/>
            </w:tcBorders>
            <w:shd w:val="clear" w:color="000000" w:fill="FFFFFF"/>
            <w:noWrap/>
            <w:vAlign w:val="bottom"/>
            <w:hideMark/>
          </w:tcPr>
          <w:p w14:paraId="3B9A9DF1"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5</w:t>
            </w:r>
          </w:p>
        </w:tc>
        <w:tc>
          <w:tcPr>
            <w:tcW w:w="1020" w:type="dxa"/>
            <w:tcBorders>
              <w:top w:val="single" w:sz="4" w:space="0" w:color="auto"/>
              <w:left w:val="nil"/>
              <w:bottom w:val="single" w:sz="8" w:space="0" w:color="auto"/>
              <w:right w:val="nil"/>
            </w:tcBorders>
            <w:shd w:val="clear" w:color="000000" w:fill="FFFFFF"/>
            <w:noWrap/>
            <w:vAlign w:val="bottom"/>
            <w:hideMark/>
          </w:tcPr>
          <w:p w14:paraId="35A9F6BA"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10</w:t>
            </w:r>
          </w:p>
        </w:tc>
      </w:tr>
      <w:tr w:rsidR="00267071" w:rsidRPr="00267071" w14:paraId="1A1AEE88" w14:textId="77777777" w:rsidTr="00267071">
        <w:trPr>
          <w:trHeight w:val="285"/>
          <w:jc w:val="center"/>
        </w:trPr>
        <w:tc>
          <w:tcPr>
            <w:tcW w:w="1134" w:type="dxa"/>
            <w:tcBorders>
              <w:top w:val="nil"/>
              <w:left w:val="nil"/>
              <w:bottom w:val="nil"/>
              <w:right w:val="nil"/>
            </w:tcBorders>
            <w:shd w:val="clear" w:color="000000" w:fill="FFFFFF"/>
            <w:noWrap/>
            <w:vAlign w:val="bottom"/>
            <w:hideMark/>
          </w:tcPr>
          <w:p w14:paraId="27B9537F" w14:textId="77777777" w:rsidR="00267071" w:rsidRPr="00267071" w:rsidRDefault="00267071" w:rsidP="00267071">
            <w:pPr>
              <w:spacing w:after="0" w:line="240" w:lineRule="auto"/>
              <w:rPr>
                <w:rFonts w:ascii="Calibri" w:eastAsia="Times New Roman" w:hAnsi="Calibri" w:cs="Calibri"/>
                <w:b/>
                <w:color w:val="000000"/>
                <w:sz w:val="18"/>
                <w:szCs w:val="18"/>
              </w:rPr>
            </w:pPr>
            <w:r w:rsidRPr="006776C1">
              <w:rPr>
                <w:rFonts w:ascii="Calibri" w:eastAsia="Times New Roman" w:hAnsi="Calibri" w:cs="Calibri"/>
                <w:b/>
                <w:color w:val="000000"/>
                <w:sz w:val="18"/>
                <w:szCs w:val="18"/>
              </w:rPr>
              <w:t>20–44</w:t>
            </w:r>
          </w:p>
        </w:tc>
        <w:tc>
          <w:tcPr>
            <w:tcW w:w="1020" w:type="dxa"/>
            <w:tcBorders>
              <w:top w:val="nil"/>
              <w:left w:val="nil"/>
              <w:bottom w:val="nil"/>
              <w:right w:val="nil"/>
            </w:tcBorders>
            <w:shd w:val="clear" w:color="000000" w:fill="FFFFFF"/>
            <w:noWrap/>
            <w:vAlign w:val="bottom"/>
            <w:hideMark/>
          </w:tcPr>
          <w:p w14:paraId="0BC4F366"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99,5</w:t>
            </w:r>
          </w:p>
        </w:tc>
        <w:tc>
          <w:tcPr>
            <w:tcW w:w="1020" w:type="dxa"/>
            <w:tcBorders>
              <w:top w:val="nil"/>
              <w:left w:val="nil"/>
              <w:bottom w:val="nil"/>
              <w:right w:val="nil"/>
            </w:tcBorders>
            <w:shd w:val="clear" w:color="000000" w:fill="FFFFFF"/>
            <w:noWrap/>
            <w:vAlign w:val="bottom"/>
            <w:hideMark/>
          </w:tcPr>
          <w:p w14:paraId="1DBA55BE"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98,5</w:t>
            </w:r>
          </w:p>
        </w:tc>
        <w:tc>
          <w:tcPr>
            <w:tcW w:w="1020" w:type="dxa"/>
            <w:tcBorders>
              <w:top w:val="nil"/>
              <w:left w:val="nil"/>
              <w:bottom w:val="nil"/>
              <w:right w:val="nil"/>
            </w:tcBorders>
            <w:shd w:val="clear" w:color="000000" w:fill="FFFFFF"/>
            <w:noWrap/>
            <w:vAlign w:val="bottom"/>
            <w:hideMark/>
          </w:tcPr>
          <w:p w14:paraId="10780AA8"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98,0</w:t>
            </w:r>
          </w:p>
        </w:tc>
        <w:tc>
          <w:tcPr>
            <w:tcW w:w="1020" w:type="dxa"/>
            <w:tcBorders>
              <w:top w:val="nil"/>
              <w:left w:val="nil"/>
              <w:bottom w:val="nil"/>
              <w:right w:val="nil"/>
            </w:tcBorders>
            <w:shd w:val="clear" w:color="000000" w:fill="FFFFFF"/>
            <w:noWrap/>
            <w:vAlign w:val="bottom"/>
            <w:hideMark/>
          </w:tcPr>
          <w:p w14:paraId="683D7E16"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95,9</w:t>
            </w:r>
          </w:p>
        </w:tc>
      </w:tr>
      <w:tr w:rsidR="00267071" w:rsidRPr="00267071" w14:paraId="28A5259C" w14:textId="77777777" w:rsidTr="00267071">
        <w:trPr>
          <w:trHeight w:val="285"/>
          <w:jc w:val="center"/>
        </w:trPr>
        <w:tc>
          <w:tcPr>
            <w:tcW w:w="1134" w:type="dxa"/>
            <w:tcBorders>
              <w:top w:val="nil"/>
              <w:left w:val="nil"/>
              <w:bottom w:val="nil"/>
              <w:right w:val="nil"/>
            </w:tcBorders>
            <w:shd w:val="clear" w:color="000000" w:fill="FFFFFF"/>
            <w:noWrap/>
            <w:vAlign w:val="bottom"/>
            <w:hideMark/>
          </w:tcPr>
          <w:p w14:paraId="163D9766" w14:textId="77777777" w:rsidR="00267071" w:rsidRPr="00267071" w:rsidRDefault="00267071" w:rsidP="00267071">
            <w:pPr>
              <w:spacing w:after="0" w:line="240" w:lineRule="auto"/>
              <w:rPr>
                <w:rFonts w:ascii="Calibri" w:eastAsia="Times New Roman" w:hAnsi="Calibri" w:cs="Calibri"/>
                <w:b/>
                <w:color w:val="000000"/>
                <w:sz w:val="18"/>
                <w:szCs w:val="18"/>
              </w:rPr>
            </w:pPr>
            <w:r w:rsidRPr="006776C1">
              <w:rPr>
                <w:rFonts w:ascii="Calibri" w:eastAsia="Times New Roman" w:hAnsi="Calibri" w:cs="Calibri"/>
                <w:b/>
                <w:color w:val="000000"/>
                <w:sz w:val="18"/>
                <w:szCs w:val="18"/>
              </w:rPr>
              <w:t>45–64</w:t>
            </w:r>
          </w:p>
        </w:tc>
        <w:tc>
          <w:tcPr>
            <w:tcW w:w="1020" w:type="dxa"/>
            <w:tcBorders>
              <w:top w:val="nil"/>
              <w:left w:val="nil"/>
              <w:bottom w:val="nil"/>
              <w:right w:val="nil"/>
            </w:tcBorders>
            <w:shd w:val="clear" w:color="000000" w:fill="FFFFFF"/>
            <w:noWrap/>
            <w:vAlign w:val="bottom"/>
            <w:hideMark/>
          </w:tcPr>
          <w:p w14:paraId="53E5DC2D"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96,9</w:t>
            </w:r>
          </w:p>
        </w:tc>
        <w:tc>
          <w:tcPr>
            <w:tcW w:w="1020" w:type="dxa"/>
            <w:tcBorders>
              <w:top w:val="nil"/>
              <w:left w:val="nil"/>
              <w:bottom w:val="nil"/>
              <w:right w:val="nil"/>
            </w:tcBorders>
            <w:shd w:val="clear" w:color="000000" w:fill="FFFFFF"/>
            <w:noWrap/>
            <w:vAlign w:val="bottom"/>
            <w:hideMark/>
          </w:tcPr>
          <w:p w14:paraId="343C8610"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95,6</w:t>
            </w:r>
          </w:p>
        </w:tc>
        <w:tc>
          <w:tcPr>
            <w:tcW w:w="1020" w:type="dxa"/>
            <w:tcBorders>
              <w:top w:val="nil"/>
              <w:left w:val="nil"/>
              <w:bottom w:val="nil"/>
              <w:right w:val="nil"/>
            </w:tcBorders>
            <w:shd w:val="clear" w:color="000000" w:fill="FFFFFF"/>
            <w:noWrap/>
            <w:vAlign w:val="bottom"/>
            <w:hideMark/>
          </w:tcPr>
          <w:p w14:paraId="10EFD3E1"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93,2</w:t>
            </w:r>
          </w:p>
        </w:tc>
        <w:tc>
          <w:tcPr>
            <w:tcW w:w="1020" w:type="dxa"/>
            <w:tcBorders>
              <w:top w:val="nil"/>
              <w:left w:val="nil"/>
              <w:bottom w:val="nil"/>
              <w:right w:val="nil"/>
            </w:tcBorders>
            <w:shd w:val="clear" w:color="000000" w:fill="FFFFFF"/>
            <w:noWrap/>
            <w:vAlign w:val="bottom"/>
            <w:hideMark/>
          </w:tcPr>
          <w:p w14:paraId="5BA01DD4"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83,0</w:t>
            </w:r>
          </w:p>
        </w:tc>
      </w:tr>
      <w:tr w:rsidR="00267071" w:rsidRPr="00267071" w14:paraId="20AE5800" w14:textId="77777777" w:rsidTr="006776C1">
        <w:trPr>
          <w:trHeight w:val="285"/>
          <w:jc w:val="center"/>
        </w:trPr>
        <w:tc>
          <w:tcPr>
            <w:tcW w:w="1134" w:type="dxa"/>
            <w:tcBorders>
              <w:top w:val="nil"/>
              <w:left w:val="nil"/>
              <w:bottom w:val="single" w:sz="4" w:space="0" w:color="auto"/>
              <w:right w:val="nil"/>
            </w:tcBorders>
            <w:shd w:val="clear" w:color="000000" w:fill="FFFFFF"/>
            <w:noWrap/>
            <w:vAlign w:val="bottom"/>
            <w:hideMark/>
          </w:tcPr>
          <w:p w14:paraId="62A0921C" w14:textId="77777777" w:rsidR="00267071" w:rsidRPr="00267071" w:rsidRDefault="00267071" w:rsidP="00267071">
            <w:pPr>
              <w:spacing w:after="0" w:line="240" w:lineRule="auto"/>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65+</w:t>
            </w:r>
          </w:p>
        </w:tc>
        <w:tc>
          <w:tcPr>
            <w:tcW w:w="1020" w:type="dxa"/>
            <w:tcBorders>
              <w:top w:val="nil"/>
              <w:left w:val="nil"/>
              <w:bottom w:val="single" w:sz="4" w:space="0" w:color="auto"/>
              <w:right w:val="nil"/>
            </w:tcBorders>
            <w:shd w:val="clear" w:color="000000" w:fill="FFFFFF"/>
            <w:noWrap/>
            <w:vAlign w:val="bottom"/>
            <w:hideMark/>
          </w:tcPr>
          <w:p w14:paraId="45121E1A"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96,5</w:t>
            </w:r>
          </w:p>
        </w:tc>
        <w:tc>
          <w:tcPr>
            <w:tcW w:w="1020" w:type="dxa"/>
            <w:tcBorders>
              <w:top w:val="nil"/>
              <w:left w:val="nil"/>
              <w:bottom w:val="single" w:sz="4" w:space="0" w:color="auto"/>
              <w:right w:val="nil"/>
            </w:tcBorders>
            <w:shd w:val="clear" w:color="000000" w:fill="FFFFFF"/>
            <w:noWrap/>
            <w:vAlign w:val="bottom"/>
            <w:hideMark/>
          </w:tcPr>
          <w:p w14:paraId="6319B4CB"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94,4</w:t>
            </w:r>
          </w:p>
        </w:tc>
        <w:tc>
          <w:tcPr>
            <w:tcW w:w="1020" w:type="dxa"/>
            <w:tcBorders>
              <w:top w:val="nil"/>
              <w:left w:val="nil"/>
              <w:bottom w:val="single" w:sz="4" w:space="0" w:color="auto"/>
              <w:right w:val="nil"/>
            </w:tcBorders>
            <w:shd w:val="clear" w:color="000000" w:fill="FFFFFF"/>
            <w:noWrap/>
            <w:vAlign w:val="bottom"/>
            <w:hideMark/>
          </w:tcPr>
          <w:p w14:paraId="6C39B86B"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83,4</w:t>
            </w:r>
          </w:p>
        </w:tc>
        <w:tc>
          <w:tcPr>
            <w:tcW w:w="1020" w:type="dxa"/>
            <w:tcBorders>
              <w:top w:val="nil"/>
              <w:left w:val="nil"/>
              <w:bottom w:val="single" w:sz="4" w:space="0" w:color="auto"/>
              <w:right w:val="nil"/>
            </w:tcBorders>
            <w:shd w:val="clear" w:color="000000" w:fill="FFFFFF"/>
            <w:noWrap/>
            <w:vAlign w:val="bottom"/>
            <w:hideMark/>
          </w:tcPr>
          <w:p w14:paraId="7D64D78E"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63,5</w:t>
            </w:r>
          </w:p>
        </w:tc>
      </w:tr>
    </w:tbl>
    <w:p w14:paraId="5B72C3C0" w14:textId="77777777" w:rsidR="00345E5D" w:rsidRPr="00F23D7D" w:rsidRDefault="00345E5D" w:rsidP="00345E5D">
      <w:pPr>
        <w:rPr>
          <w:sz w:val="16"/>
          <w:szCs w:val="16"/>
        </w:rPr>
      </w:pPr>
      <w:r>
        <w:rPr>
          <w:b/>
          <w:sz w:val="16"/>
          <w:szCs w:val="16"/>
        </w:rPr>
        <w:t xml:space="preserve">      </w:t>
      </w:r>
      <w:r w:rsidRPr="0072557C">
        <w:rPr>
          <w:b/>
          <w:sz w:val="16"/>
          <w:szCs w:val="16"/>
        </w:rPr>
        <w:t>Tabell</w:t>
      </w:r>
      <w:r>
        <w:rPr>
          <w:b/>
          <w:sz w:val="16"/>
          <w:szCs w:val="16"/>
        </w:rPr>
        <w:t xml:space="preserve"> </w:t>
      </w:r>
      <w:r w:rsidRPr="0072557C">
        <w:rPr>
          <w:b/>
          <w:sz w:val="16"/>
          <w:szCs w:val="16"/>
        </w:rPr>
        <w:t>2</w:t>
      </w:r>
      <w:r w:rsidRPr="0072557C">
        <w:rPr>
          <w:sz w:val="16"/>
          <w:szCs w:val="16"/>
        </w:rPr>
        <w:t xml:space="preserve">: </w:t>
      </w:r>
      <w:r>
        <w:rPr>
          <w:sz w:val="16"/>
          <w:szCs w:val="16"/>
        </w:rPr>
        <w:t xml:space="preserve">Överlevnadssannolikhet för Tx-patienter 1, 2, 5 och 10 år efter transplantation och för åldersklasserna 20—44, 45—64 och 65+. Sannolikheterna är justerade för ålder, kön och diagnos.  Ingen skillnad görs mellan DBD Tx och DCD Tx. </w:t>
      </w:r>
    </w:p>
    <w:p w14:paraId="5CCC8F17" w14:textId="77777777" w:rsidR="00E2677E" w:rsidRDefault="006776C1" w:rsidP="00267071">
      <w:pPr>
        <w:jc w:val="center"/>
      </w:pPr>
      <w:r>
        <w:rPr>
          <w:noProof/>
          <w:lang w:eastAsia="sv-SE"/>
        </w:rPr>
        <w:drawing>
          <wp:inline distT="0" distB="0" distL="0" distR="0" wp14:anchorId="43AD1D92" wp14:editId="6354423A">
            <wp:extent cx="4119245" cy="2309813"/>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E4A70-E0AC-4B32-AA61-01B6A5876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9A463D" w14:textId="77777777" w:rsidR="003E5512" w:rsidRPr="000E4F6F" w:rsidRDefault="006776C1" w:rsidP="000E4F6F">
      <w:pPr>
        <w:jc w:val="center"/>
        <w:rPr>
          <w:sz w:val="16"/>
          <w:szCs w:val="16"/>
        </w:rPr>
      </w:pPr>
      <w:r w:rsidRPr="006776C1">
        <w:rPr>
          <w:b/>
          <w:sz w:val="16"/>
          <w:szCs w:val="16"/>
        </w:rPr>
        <w:t>Figur 4:</w:t>
      </w:r>
      <w:r w:rsidRPr="006776C1">
        <w:rPr>
          <w:sz w:val="16"/>
          <w:szCs w:val="16"/>
        </w:rPr>
        <w:t xml:space="preserve"> Tx-patientöverlevnadssannolikhet per åldersklass och för åren 1, 2, 5 och 10. Ingen skillnad görs mellan DBD Tx och DCD Tx.  </w:t>
      </w:r>
    </w:p>
    <w:tbl>
      <w:tblPr>
        <w:tblW w:w="5200" w:type="dxa"/>
        <w:jc w:val="center"/>
        <w:tblCellMar>
          <w:left w:w="70" w:type="dxa"/>
          <w:right w:w="70" w:type="dxa"/>
        </w:tblCellMar>
        <w:tblLook w:val="04A0" w:firstRow="1" w:lastRow="0" w:firstColumn="1" w:lastColumn="0" w:noHBand="0" w:noVBand="1"/>
      </w:tblPr>
      <w:tblGrid>
        <w:gridCol w:w="1120"/>
        <w:gridCol w:w="1020"/>
        <w:gridCol w:w="1020"/>
        <w:gridCol w:w="1020"/>
        <w:gridCol w:w="1020"/>
      </w:tblGrid>
      <w:tr w:rsidR="00267071" w:rsidRPr="00267071" w14:paraId="5C671CBD" w14:textId="77777777" w:rsidTr="00267071">
        <w:trPr>
          <w:trHeight w:val="293"/>
          <w:jc w:val="center"/>
        </w:trPr>
        <w:tc>
          <w:tcPr>
            <w:tcW w:w="1120" w:type="dxa"/>
            <w:tcBorders>
              <w:top w:val="single" w:sz="4" w:space="0" w:color="auto"/>
              <w:left w:val="nil"/>
              <w:bottom w:val="single" w:sz="8" w:space="0" w:color="auto"/>
              <w:right w:val="nil"/>
            </w:tcBorders>
            <w:shd w:val="clear" w:color="000000" w:fill="FFFFFF"/>
            <w:noWrap/>
            <w:vAlign w:val="bottom"/>
            <w:hideMark/>
          </w:tcPr>
          <w:p w14:paraId="6F8566AD"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Åldersklass</w:t>
            </w:r>
          </w:p>
        </w:tc>
        <w:tc>
          <w:tcPr>
            <w:tcW w:w="1020" w:type="dxa"/>
            <w:tcBorders>
              <w:top w:val="single" w:sz="4" w:space="0" w:color="auto"/>
              <w:left w:val="nil"/>
              <w:bottom w:val="single" w:sz="8" w:space="0" w:color="auto"/>
              <w:right w:val="nil"/>
            </w:tcBorders>
            <w:shd w:val="clear" w:color="000000" w:fill="FFFFFF"/>
            <w:noWrap/>
            <w:vAlign w:val="bottom"/>
            <w:hideMark/>
          </w:tcPr>
          <w:p w14:paraId="6BC0F6DA"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1</w:t>
            </w:r>
          </w:p>
        </w:tc>
        <w:tc>
          <w:tcPr>
            <w:tcW w:w="1020" w:type="dxa"/>
            <w:tcBorders>
              <w:top w:val="single" w:sz="4" w:space="0" w:color="auto"/>
              <w:left w:val="nil"/>
              <w:bottom w:val="single" w:sz="8" w:space="0" w:color="auto"/>
              <w:right w:val="nil"/>
            </w:tcBorders>
            <w:shd w:val="clear" w:color="000000" w:fill="FFFFFF"/>
            <w:noWrap/>
            <w:vAlign w:val="bottom"/>
            <w:hideMark/>
          </w:tcPr>
          <w:p w14:paraId="64CAFAB6"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2</w:t>
            </w:r>
          </w:p>
        </w:tc>
        <w:tc>
          <w:tcPr>
            <w:tcW w:w="1020" w:type="dxa"/>
            <w:tcBorders>
              <w:top w:val="single" w:sz="4" w:space="0" w:color="auto"/>
              <w:left w:val="nil"/>
              <w:bottom w:val="single" w:sz="8" w:space="0" w:color="auto"/>
              <w:right w:val="nil"/>
            </w:tcBorders>
            <w:shd w:val="clear" w:color="000000" w:fill="FFFFFF"/>
            <w:noWrap/>
            <w:vAlign w:val="bottom"/>
            <w:hideMark/>
          </w:tcPr>
          <w:p w14:paraId="5A00F926"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5</w:t>
            </w:r>
          </w:p>
        </w:tc>
        <w:tc>
          <w:tcPr>
            <w:tcW w:w="1020" w:type="dxa"/>
            <w:tcBorders>
              <w:top w:val="single" w:sz="4" w:space="0" w:color="auto"/>
              <w:left w:val="nil"/>
              <w:bottom w:val="single" w:sz="8" w:space="0" w:color="auto"/>
              <w:right w:val="nil"/>
            </w:tcBorders>
            <w:shd w:val="clear" w:color="000000" w:fill="FFFFFF"/>
            <w:noWrap/>
            <w:vAlign w:val="bottom"/>
            <w:hideMark/>
          </w:tcPr>
          <w:p w14:paraId="72630942" w14:textId="77777777" w:rsidR="00267071" w:rsidRPr="00267071" w:rsidRDefault="00267071" w:rsidP="00267071">
            <w:pPr>
              <w:spacing w:after="0" w:line="240" w:lineRule="auto"/>
              <w:jc w:val="center"/>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År 10</w:t>
            </w:r>
          </w:p>
        </w:tc>
      </w:tr>
      <w:tr w:rsidR="00267071" w:rsidRPr="00267071" w14:paraId="09331702" w14:textId="77777777" w:rsidTr="00267071">
        <w:trPr>
          <w:trHeight w:val="285"/>
          <w:jc w:val="center"/>
        </w:trPr>
        <w:tc>
          <w:tcPr>
            <w:tcW w:w="1120" w:type="dxa"/>
            <w:tcBorders>
              <w:top w:val="nil"/>
              <w:left w:val="nil"/>
              <w:bottom w:val="nil"/>
              <w:right w:val="nil"/>
            </w:tcBorders>
            <w:shd w:val="clear" w:color="000000" w:fill="FFFFFF"/>
            <w:noWrap/>
            <w:vAlign w:val="bottom"/>
            <w:hideMark/>
          </w:tcPr>
          <w:p w14:paraId="7AC670EC" w14:textId="77777777" w:rsidR="00267071" w:rsidRPr="00267071" w:rsidRDefault="00267071" w:rsidP="006776C1">
            <w:pPr>
              <w:spacing w:after="0" w:line="240" w:lineRule="auto"/>
              <w:rPr>
                <w:rFonts w:ascii="Calibri" w:eastAsia="Times New Roman" w:hAnsi="Calibri" w:cs="Calibri"/>
                <w:b/>
                <w:color w:val="000000"/>
                <w:sz w:val="18"/>
                <w:szCs w:val="18"/>
              </w:rPr>
            </w:pPr>
            <w:r w:rsidRPr="006776C1">
              <w:rPr>
                <w:rFonts w:ascii="Calibri" w:eastAsia="Times New Roman" w:hAnsi="Calibri" w:cs="Calibri"/>
                <w:b/>
                <w:color w:val="000000"/>
                <w:sz w:val="18"/>
                <w:szCs w:val="18"/>
              </w:rPr>
              <w:t>20–44</w:t>
            </w:r>
          </w:p>
        </w:tc>
        <w:tc>
          <w:tcPr>
            <w:tcW w:w="1020" w:type="dxa"/>
            <w:tcBorders>
              <w:top w:val="nil"/>
              <w:left w:val="nil"/>
              <w:bottom w:val="nil"/>
              <w:right w:val="nil"/>
            </w:tcBorders>
            <w:shd w:val="clear" w:color="000000" w:fill="FFFFFF"/>
            <w:noWrap/>
            <w:vAlign w:val="bottom"/>
            <w:hideMark/>
          </w:tcPr>
          <w:p w14:paraId="29E70E03"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96,3</w:t>
            </w:r>
          </w:p>
        </w:tc>
        <w:tc>
          <w:tcPr>
            <w:tcW w:w="1020" w:type="dxa"/>
            <w:tcBorders>
              <w:top w:val="nil"/>
              <w:left w:val="nil"/>
              <w:bottom w:val="nil"/>
              <w:right w:val="nil"/>
            </w:tcBorders>
            <w:shd w:val="clear" w:color="000000" w:fill="FFFFFF"/>
            <w:noWrap/>
            <w:vAlign w:val="bottom"/>
            <w:hideMark/>
          </w:tcPr>
          <w:p w14:paraId="201161BB"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92,5</w:t>
            </w:r>
          </w:p>
        </w:tc>
        <w:tc>
          <w:tcPr>
            <w:tcW w:w="1020" w:type="dxa"/>
            <w:tcBorders>
              <w:top w:val="nil"/>
              <w:left w:val="nil"/>
              <w:bottom w:val="nil"/>
              <w:right w:val="nil"/>
            </w:tcBorders>
            <w:shd w:val="clear" w:color="000000" w:fill="FFFFFF"/>
            <w:noWrap/>
            <w:vAlign w:val="bottom"/>
            <w:hideMark/>
          </w:tcPr>
          <w:p w14:paraId="55DF1833"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80,5</w:t>
            </w:r>
          </w:p>
        </w:tc>
        <w:tc>
          <w:tcPr>
            <w:tcW w:w="1020" w:type="dxa"/>
            <w:tcBorders>
              <w:top w:val="nil"/>
              <w:left w:val="nil"/>
              <w:bottom w:val="nil"/>
              <w:right w:val="nil"/>
            </w:tcBorders>
            <w:shd w:val="clear" w:color="000000" w:fill="FFFFFF"/>
            <w:noWrap/>
            <w:vAlign w:val="bottom"/>
            <w:hideMark/>
          </w:tcPr>
          <w:p w14:paraId="6AB0517D"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52,8</w:t>
            </w:r>
          </w:p>
        </w:tc>
      </w:tr>
      <w:tr w:rsidR="00267071" w:rsidRPr="00267071" w14:paraId="4A9C952C" w14:textId="77777777" w:rsidTr="00267071">
        <w:trPr>
          <w:trHeight w:val="285"/>
          <w:jc w:val="center"/>
        </w:trPr>
        <w:tc>
          <w:tcPr>
            <w:tcW w:w="1120" w:type="dxa"/>
            <w:tcBorders>
              <w:top w:val="nil"/>
              <w:left w:val="nil"/>
              <w:bottom w:val="nil"/>
              <w:right w:val="nil"/>
            </w:tcBorders>
            <w:shd w:val="clear" w:color="000000" w:fill="FFFFFF"/>
            <w:noWrap/>
            <w:vAlign w:val="bottom"/>
            <w:hideMark/>
          </w:tcPr>
          <w:p w14:paraId="08065F1A" w14:textId="77777777" w:rsidR="00267071" w:rsidRPr="00267071" w:rsidRDefault="00267071" w:rsidP="006776C1">
            <w:pPr>
              <w:spacing w:after="0" w:line="240" w:lineRule="auto"/>
              <w:rPr>
                <w:rFonts w:ascii="Calibri" w:eastAsia="Times New Roman" w:hAnsi="Calibri" w:cs="Calibri"/>
                <w:b/>
                <w:color w:val="000000"/>
                <w:sz w:val="18"/>
                <w:szCs w:val="18"/>
              </w:rPr>
            </w:pPr>
            <w:r w:rsidRPr="006776C1">
              <w:rPr>
                <w:rFonts w:ascii="Calibri" w:eastAsia="Times New Roman" w:hAnsi="Calibri" w:cs="Calibri"/>
                <w:b/>
                <w:color w:val="000000"/>
                <w:sz w:val="18"/>
                <w:szCs w:val="18"/>
              </w:rPr>
              <w:t>45–64</w:t>
            </w:r>
          </w:p>
        </w:tc>
        <w:tc>
          <w:tcPr>
            <w:tcW w:w="1020" w:type="dxa"/>
            <w:tcBorders>
              <w:top w:val="nil"/>
              <w:left w:val="nil"/>
              <w:bottom w:val="nil"/>
              <w:right w:val="nil"/>
            </w:tcBorders>
            <w:shd w:val="clear" w:color="000000" w:fill="FFFFFF"/>
            <w:noWrap/>
            <w:vAlign w:val="bottom"/>
            <w:hideMark/>
          </w:tcPr>
          <w:p w14:paraId="777B24D6"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89,9</w:t>
            </w:r>
          </w:p>
        </w:tc>
        <w:tc>
          <w:tcPr>
            <w:tcW w:w="1020" w:type="dxa"/>
            <w:tcBorders>
              <w:top w:val="nil"/>
              <w:left w:val="nil"/>
              <w:bottom w:val="nil"/>
              <w:right w:val="nil"/>
            </w:tcBorders>
            <w:shd w:val="clear" w:color="000000" w:fill="FFFFFF"/>
            <w:noWrap/>
            <w:vAlign w:val="bottom"/>
            <w:hideMark/>
          </w:tcPr>
          <w:p w14:paraId="4A410F04"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81,9</w:t>
            </w:r>
          </w:p>
        </w:tc>
        <w:tc>
          <w:tcPr>
            <w:tcW w:w="1020" w:type="dxa"/>
            <w:tcBorders>
              <w:top w:val="nil"/>
              <w:left w:val="nil"/>
              <w:bottom w:val="nil"/>
              <w:right w:val="nil"/>
            </w:tcBorders>
            <w:shd w:val="clear" w:color="000000" w:fill="FFFFFF"/>
            <w:noWrap/>
            <w:vAlign w:val="bottom"/>
            <w:hideMark/>
          </w:tcPr>
          <w:p w14:paraId="3CE9EE3C"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58,9</w:t>
            </w:r>
          </w:p>
        </w:tc>
        <w:tc>
          <w:tcPr>
            <w:tcW w:w="1020" w:type="dxa"/>
            <w:tcBorders>
              <w:top w:val="nil"/>
              <w:left w:val="nil"/>
              <w:bottom w:val="nil"/>
              <w:right w:val="nil"/>
            </w:tcBorders>
            <w:shd w:val="clear" w:color="000000" w:fill="FFFFFF"/>
            <w:noWrap/>
            <w:vAlign w:val="bottom"/>
            <w:hideMark/>
          </w:tcPr>
          <w:p w14:paraId="75654F35"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28,8</w:t>
            </w:r>
          </w:p>
        </w:tc>
      </w:tr>
      <w:tr w:rsidR="00267071" w:rsidRPr="00267071" w14:paraId="21FCF6FA" w14:textId="77777777" w:rsidTr="00267071">
        <w:trPr>
          <w:trHeight w:val="293"/>
          <w:jc w:val="center"/>
        </w:trPr>
        <w:tc>
          <w:tcPr>
            <w:tcW w:w="1120" w:type="dxa"/>
            <w:tcBorders>
              <w:top w:val="nil"/>
              <w:left w:val="nil"/>
              <w:bottom w:val="single" w:sz="8" w:space="0" w:color="auto"/>
              <w:right w:val="nil"/>
            </w:tcBorders>
            <w:shd w:val="clear" w:color="000000" w:fill="FFFFFF"/>
            <w:noWrap/>
            <w:vAlign w:val="bottom"/>
            <w:hideMark/>
          </w:tcPr>
          <w:p w14:paraId="741388A1" w14:textId="77777777" w:rsidR="00267071" w:rsidRPr="00267071" w:rsidRDefault="00267071" w:rsidP="006776C1">
            <w:pPr>
              <w:spacing w:after="0" w:line="240" w:lineRule="auto"/>
              <w:rPr>
                <w:rFonts w:ascii="Calibri" w:eastAsia="Times New Roman" w:hAnsi="Calibri" w:cs="Calibri"/>
                <w:b/>
                <w:color w:val="000000"/>
                <w:sz w:val="18"/>
                <w:szCs w:val="18"/>
              </w:rPr>
            </w:pPr>
            <w:r w:rsidRPr="00267071">
              <w:rPr>
                <w:rFonts w:ascii="Calibri" w:eastAsia="Times New Roman" w:hAnsi="Calibri" w:cs="Calibri"/>
                <w:b/>
                <w:color w:val="000000"/>
                <w:sz w:val="18"/>
                <w:szCs w:val="18"/>
              </w:rPr>
              <w:t>65+</w:t>
            </w:r>
          </w:p>
        </w:tc>
        <w:tc>
          <w:tcPr>
            <w:tcW w:w="1020" w:type="dxa"/>
            <w:tcBorders>
              <w:top w:val="nil"/>
              <w:left w:val="nil"/>
              <w:bottom w:val="single" w:sz="8" w:space="0" w:color="auto"/>
              <w:right w:val="nil"/>
            </w:tcBorders>
            <w:shd w:val="clear" w:color="000000" w:fill="FFFFFF"/>
            <w:noWrap/>
            <w:vAlign w:val="bottom"/>
            <w:hideMark/>
          </w:tcPr>
          <w:p w14:paraId="2C6D8BEA"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79,7</w:t>
            </w:r>
          </w:p>
        </w:tc>
        <w:tc>
          <w:tcPr>
            <w:tcW w:w="1020" w:type="dxa"/>
            <w:tcBorders>
              <w:top w:val="nil"/>
              <w:left w:val="nil"/>
              <w:bottom w:val="single" w:sz="8" w:space="0" w:color="auto"/>
              <w:right w:val="nil"/>
            </w:tcBorders>
            <w:shd w:val="clear" w:color="000000" w:fill="FFFFFF"/>
            <w:noWrap/>
            <w:vAlign w:val="bottom"/>
            <w:hideMark/>
          </w:tcPr>
          <w:p w14:paraId="019D5A91"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66,7</w:t>
            </w:r>
          </w:p>
        </w:tc>
        <w:tc>
          <w:tcPr>
            <w:tcW w:w="1020" w:type="dxa"/>
            <w:tcBorders>
              <w:top w:val="nil"/>
              <w:left w:val="nil"/>
              <w:bottom w:val="single" w:sz="8" w:space="0" w:color="auto"/>
              <w:right w:val="nil"/>
            </w:tcBorders>
            <w:shd w:val="clear" w:color="000000" w:fill="FFFFFF"/>
            <w:noWrap/>
            <w:vAlign w:val="bottom"/>
            <w:hideMark/>
          </w:tcPr>
          <w:p w14:paraId="0CA815E4"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36,8</w:t>
            </w:r>
          </w:p>
        </w:tc>
        <w:tc>
          <w:tcPr>
            <w:tcW w:w="1020" w:type="dxa"/>
            <w:tcBorders>
              <w:top w:val="nil"/>
              <w:left w:val="nil"/>
              <w:bottom w:val="single" w:sz="8" w:space="0" w:color="auto"/>
              <w:right w:val="nil"/>
            </w:tcBorders>
            <w:shd w:val="clear" w:color="000000" w:fill="FFFFFF"/>
            <w:noWrap/>
            <w:vAlign w:val="bottom"/>
            <w:hideMark/>
          </w:tcPr>
          <w:p w14:paraId="275C7B8F" w14:textId="77777777" w:rsidR="00267071" w:rsidRPr="00267071" w:rsidRDefault="00267071" w:rsidP="00267071">
            <w:pPr>
              <w:spacing w:after="0" w:line="240" w:lineRule="auto"/>
              <w:jc w:val="center"/>
              <w:rPr>
                <w:rFonts w:ascii="Calibri" w:eastAsia="Times New Roman" w:hAnsi="Calibri" w:cs="Calibri"/>
                <w:color w:val="000000"/>
                <w:sz w:val="18"/>
                <w:szCs w:val="18"/>
              </w:rPr>
            </w:pPr>
            <w:r w:rsidRPr="00267071">
              <w:rPr>
                <w:rFonts w:ascii="Calibri" w:eastAsia="Times New Roman" w:hAnsi="Calibri" w:cs="Calibri"/>
                <w:color w:val="000000"/>
                <w:sz w:val="18"/>
                <w:szCs w:val="18"/>
              </w:rPr>
              <w:t>6,0</w:t>
            </w:r>
          </w:p>
        </w:tc>
      </w:tr>
    </w:tbl>
    <w:p w14:paraId="009BA4BC" w14:textId="77777777" w:rsidR="00267071" w:rsidRPr="006776C1" w:rsidRDefault="006776C1" w:rsidP="006776C1">
      <w:pPr>
        <w:jc w:val="center"/>
        <w:rPr>
          <w:sz w:val="16"/>
          <w:szCs w:val="16"/>
        </w:rPr>
      </w:pPr>
      <w:r w:rsidRPr="0072557C">
        <w:rPr>
          <w:b/>
          <w:sz w:val="16"/>
          <w:szCs w:val="16"/>
        </w:rPr>
        <w:t>Tabell</w:t>
      </w:r>
      <w:r>
        <w:rPr>
          <w:b/>
          <w:sz w:val="16"/>
          <w:szCs w:val="16"/>
        </w:rPr>
        <w:t xml:space="preserve"> </w:t>
      </w:r>
      <w:r w:rsidRPr="0072557C">
        <w:rPr>
          <w:b/>
          <w:sz w:val="16"/>
          <w:szCs w:val="16"/>
        </w:rPr>
        <w:t>2</w:t>
      </w:r>
      <w:r w:rsidRPr="0072557C">
        <w:rPr>
          <w:sz w:val="16"/>
          <w:szCs w:val="16"/>
        </w:rPr>
        <w:t xml:space="preserve">: </w:t>
      </w:r>
      <w:r>
        <w:rPr>
          <w:sz w:val="16"/>
          <w:szCs w:val="16"/>
        </w:rPr>
        <w:t>Överlevnadssannolikhet för Tx-patienter 1, 2, 5 och 10 år eft</w:t>
      </w:r>
      <w:r w:rsidR="00083A9A">
        <w:rPr>
          <w:sz w:val="16"/>
          <w:szCs w:val="16"/>
        </w:rPr>
        <w:t>er transplantation och för</w:t>
      </w:r>
      <w:r>
        <w:rPr>
          <w:sz w:val="16"/>
          <w:szCs w:val="16"/>
        </w:rPr>
        <w:t xml:space="preserve"> åldersklasserna 20—44, 45—64 och 65+. Sannolikheterna är justerade för ålder, kön och diagnos.  Ingen skillnad görs mellan DBD Tx och DCD Tx.</w:t>
      </w:r>
    </w:p>
    <w:p w14:paraId="6E0B7C33" w14:textId="77777777" w:rsidR="00267071" w:rsidRDefault="00267071" w:rsidP="00267071">
      <w:pPr>
        <w:jc w:val="center"/>
      </w:pPr>
      <w:r>
        <w:rPr>
          <w:noProof/>
          <w:lang w:eastAsia="sv-SE"/>
        </w:rPr>
        <w:drawing>
          <wp:inline distT="0" distB="0" distL="0" distR="0" wp14:anchorId="327DA342" wp14:editId="18ECDBF1">
            <wp:extent cx="4297680" cy="2437075"/>
            <wp:effectExtent l="0" t="0" r="7620" b="1905"/>
            <wp:docPr id="22" name="Chart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4D9838-2CB6-4B61-BBFB-F778CB884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A8A60E" w14:textId="77777777" w:rsidR="00267071" w:rsidRPr="000E4F6F" w:rsidRDefault="006776C1" w:rsidP="000E4F6F">
      <w:pPr>
        <w:jc w:val="center"/>
        <w:rPr>
          <w:sz w:val="16"/>
          <w:szCs w:val="16"/>
        </w:rPr>
      </w:pPr>
      <w:r w:rsidRPr="006776C1">
        <w:rPr>
          <w:b/>
          <w:sz w:val="16"/>
          <w:szCs w:val="16"/>
        </w:rPr>
        <w:t>Figur 4:</w:t>
      </w:r>
      <w:r w:rsidRPr="006776C1">
        <w:rPr>
          <w:sz w:val="16"/>
          <w:szCs w:val="16"/>
        </w:rPr>
        <w:t xml:space="preserve"> </w:t>
      </w:r>
      <w:r>
        <w:rPr>
          <w:sz w:val="16"/>
          <w:szCs w:val="16"/>
        </w:rPr>
        <w:t>HD</w:t>
      </w:r>
      <w:r w:rsidRPr="006776C1">
        <w:rPr>
          <w:sz w:val="16"/>
          <w:szCs w:val="16"/>
        </w:rPr>
        <w:t xml:space="preserve">-patientöverlevnadssannolikhet per åldersklass och för åren 1, 2, 5 och 10. Ingen skillnad görs mellan </w:t>
      </w:r>
      <w:r w:rsidR="007E7FB6">
        <w:rPr>
          <w:sz w:val="16"/>
          <w:szCs w:val="16"/>
        </w:rPr>
        <w:t>HD</w:t>
      </w:r>
      <w:r w:rsidRPr="006776C1">
        <w:rPr>
          <w:sz w:val="16"/>
          <w:szCs w:val="16"/>
        </w:rPr>
        <w:t xml:space="preserve"> och </w:t>
      </w:r>
      <w:r w:rsidR="007E7FB6">
        <w:rPr>
          <w:sz w:val="16"/>
          <w:szCs w:val="16"/>
        </w:rPr>
        <w:t>PD</w:t>
      </w:r>
      <w:r w:rsidRPr="006776C1">
        <w:rPr>
          <w:sz w:val="16"/>
          <w:szCs w:val="16"/>
        </w:rPr>
        <w:t xml:space="preserve">.  </w:t>
      </w:r>
    </w:p>
    <w:p w14:paraId="65F73589" w14:textId="77777777" w:rsidR="00D75898" w:rsidRDefault="00D75898" w:rsidP="00D75898">
      <w:pPr>
        <w:pStyle w:val="Rubrik3"/>
      </w:pPr>
      <w:bookmarkStart w:id="7" w:name="_Toc474824365"/>
      <w:r w:rsidRPr="00CA0A47">
        <w:rPr>
          <w:color w:val="FF0000"/>
        </w:rPr>
        <w:t>Produktivitet</w:t>
      </w:r>
      <w:bookmarkEnd w:id="7"/>
    </w:p>
    <w:p w14:paraId="57CDA96D" w14:textId="77777777" w:rsidR="00533B0F" w:rsidRDefault="00083A9A" w:rsidP="00083A9A">
      <w:r>
        <w:t>Det finns stora skillnader mellan behandlingars konsekvenser för patienternas vardag. Vissa behandlingar kan innebära att individer inte kan återinträda arbetslivet medan an</w:t>
      </w:r>
      <w:r w:rsidR="009B75EE">
        <w:t>dra ökar möjligheterna till arbete och andra vardagliga aktiviteter. Minskad arbetsförmåga på grund av behandling innebär ekonomiska förluster för såväl patienten som för staten i form av förlorade skatteintäkter och utbetalade socialförsäkringsförmåner. Vi behöver således kartlägga hur peritonealdialys, haemodialys och transplantation påverkar patienternas arbetsförmåga och kvantifiera de totala förlorade skatteintäkt</w:t>
      </w:r>
      <w:r w:rsidR="00966865">
        <w:t xml:space="preserve">erna. Vi kommer inte att utreda kostnaderna för </w:t>
      </w:r>
      <w:r w:rsidR="007F1DF6">
        <w:t xml:space="preserve">utbetalda förmåner eftersom statistik över det saknas. Som vi påpekade i inledningen kan vi inte heller kvantifiera inkomstförlusterna av patienternas anhöriga i de fall de behöver avstå från att arbeta. </w:t>
      </w:r>
    </w:p>
    <w:p w14:paraId="07E9A094" w14:textId="77777777" w:rsidR="007C1104" w:rsidRDefault="007F1DF6" w:rsidP="00083A9A">
      <w:r>
        <w:t xml:space="preserve">I SOU 2015:84 undersöks produktivitet av individer som genomgår haemodialys, peritonealdialys eller som genomgått en njurtransplantation. </w:t>
      </w:r>
      <w:r w:rsidR="008B130E">
        <w:t xml:space="preserve">I utredningen argumenteras att </w:t>
      </w:r>
      <w:r w:rsidR="00D34F7A">
        <w:t xml:space="preserve">HD patienter sällan förvärvsarbetar, att PD-patienter arbetar ca 37,5 procent av ett heltidsarbete och att transplanterade individer arbetar ca 75 procent av heltid. </w:t>
      </w:r>
      <w:r w:rsidR="009421E2">
        <w:t>Vi kommer också att göra den bedömningen i analysen. Vi kommer även att ta hänsyn till patienternas åldrar eftersom de påverkar lönebilden, och därmed skatteintäkterna. Tyvärr finns inge</w:t>
      </w:r>
      <w:r w:rsidR="007C1104">
        <w:t>n</w:t>
      </w:r>
      <w:r w:rsidR="009421E2">
        <w:t xml:space="preserve"> öppen statistik över HD/PD/Tx-patienternas åldrar</w:t>
      </w:r>
      <w:r w:rsidR="007C1104">
        <w:t xml:space="preserve"> för Sverige. Den statistiken finns dock för Storbritannien för tillräckligt väldefinierade åldersklasser. För att kunna överföra den brittiska statistik</w:t>
      </w:r>
      <w:r w:rsidR="005004EE">
        <w:t>en</w:t>
      </w:r>
      <w:r w:rsidR="007C1104">
        <w:t xml:space="preserve"> till den svenska HD/PD/Tx-patientpopulationen måste vi försäkra oss om att de svenska och brittiska befolkningsstrukturerna är jämförbara. Vidare saknar vi information om individernas sysselsättning, det vill säga vilka yrken de arbetar med. Vi använder </w:t>
      </w:r>
      <w:r w:rsidR="005004EE">
        <w:t xml:space="preserve">därför </w:t>
      </w:r>
      <w:r w:rsidR="007C1104">
        <w:t xml:space="preserve">medianinkomsten för den givna åldersklassen. </w:t>
      </w:r>
    </w:p>
    <w:p w14:paraId="28C20969" w14:textId="7EC67547" w:rsidR="009574A7" w:rsidRDefault="009574A7" w:rsidP="00083A9A">
      <w:r>
        <w:t>Vid en jämförelse mellan Storbritanniens och Sveriges demografi konstaterar vi att länderna har, åtminstone för individer i arbetsför ålder, mycket lika struktur. Sverige har något fler äldre individer, men detta påverkar inte den ekonomiska analysen eftersom flertalet av dem är pensionerade.</w:t>
      </w:r>
    </w:p>
    <w:p w14:paraId="36EFCB1A" w14:textId="77777777" w:rsidR="009574A7" w:rsidRDefault="009574A7" w:rsidP="00C71441">
      <w:pPr>
        <w:jc w:val="center"/>
      </w:pPr>
      <w:r>
        <w:rPr>
          <w:noProof/>
          <w:lang w:eastAsia="sv-SE"/>
        </w:rPr>
        <w:drawing>
          <wp:inline distT="0" distB="0" distL="0" distR="0" wp14:anchorId="51BE7288" wp14:editId="123CBE46">
            <wp:extent cx="4337436" cy="2445026"/>
            <wp:effectExtent l="0" t="0" r="6350" b="0"/>
            <wp:docPr id="24" name="Chart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234B98-DC8A-4DCC-9079-3BED2AB0E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4F62A3" w14:textId="77777777" w:rsidR="00C71441" w:rsidRDefault="00C71441" w:rsidP="00C71441">
      <w:pPr>
        <w:rPr>
          <w:sz w:val="16"/>
          <w:szCs w:val="16"/>
        </w:rPr>
      </w:pPr>
      <w:r>
        <w:rPr>
          <w:sz w:val="16"/>
          <w:szCs w:val="16"/>
        </w:rPr>
        <w:t xml:space="preserve">                        </w:t>
      </w:r>
      <w:r w:rsidRPr="00C71441">
        <w:rPr>
          <w:sz w:val="16"/>
          <w:szCs w:val="16"/>
        </w:rPr>
        <w:t>Figur: Jämförelse mellan befolkningsstrukturerna i Storbritannien och Sverige</w:t>
      </w:r>
      <w:r>
        <w:rPr>
          <w:sz w:val="16"/>
          <w:szCs w:val="16"/>
        </w:rPr>
        <w:t xml:space="preserve">. </w:t>
      </w:r>
    </w:p>
    <w:p w14:paraId="0887D7EB" w14:textId="77777777" w:rsidR="00C71441" w:rsidRDefault="00912014" w:rsidP="00C71441">
      <w:r>
        <w:t xml:space="preserve">Vi väljer att anta att Sverige har en liknande behandlingsstatistik som Storbritannien gällande hur patienterna fördelas i de olika åldersklasserna och hur olika behandlingsformer väljs i olika åldrar. </w:t>
      </w:r>
      <w:r w:rsidR="000C1F1C">
        <w:t xml:space="preserve">Det finns givetvis skillnader mellan Sverige och Storbritannien som beror på en rad faktorer såsom föda, levnadsätt och hälsofrämjande aktiviteter eller bristen därav, men vi tror att skillnaderna inte är av en sådan omfattning att de påverkar utfallet av utredningen. </w:t>
      </w:r>
    </w:p>
    <w:tbl>
      <w:tblPr>
        <w:tblW w:w="6420" w:type="dxa"/>
        <w:jc w:val="center"/>
        <w:tblCellMar>
          <w:left w:w="70" w:type="dxa"/>
          <w:right w:w="70" w:type="dxa"/>
        </w:tblCellMar>
        <w:tblLook w:val="04A0" w:firstRow="1" w:lastRow="0" w:firstColumn="1" w:lastColumn="0" w:noHBand="0" w:noVBand="1"/>
      </w:tblPr>
      <w:tblGrid>
        <w:gridCol w:w="1200"/>
        <w:gridCol w:w="1780"/>
        <w:gridCol w:w="1740"/>
        <w:gridCol w:w="1700"/>
      </w:tblGrid>
      <w:tr w:rsidR="00A86EFC" w:rsidRPr="00A86EFC" w14:paraId="113B7420" w14:textId="77777777" w:rsidTr="00A86EFC">
        <w:trPr>
          <w:trHeight w:val="293"/>
          <w:jc w:val="center"/>
        </w:trPr>
        <w:tc>
          <w:tcPr>
            <w:tcW w:w="1200" w:type="dxa"/>
            <w:tcBorders>
              <w:top w:val="single" w:sz="4" w:space="0" w:color="auto"/>
              <w:left w:val="nil"/>
              <w:bottom w:val="single" w:sz="8" w:space="0" w:color="auto"/>
              <w:right w:val="nil"/>
            </w:tcBorders>
            <w:shd w:val="clear" w:color="000000" w:fill="FFFFFF"/>
            <w:noWrap/>
            <w:vAlign w:val="bottom"/>
            <w:hideMark/>
          </w:tcPr>
          <w:p w14:paraId="5E72F789"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Åldersklass</w:t>
            </w:r>
          </w:p>
        </w:tc>
        <w:tc>
          <w:tcPr>
            <w:tcW w:w="1780" w:type="dxa"/>
            <w:tcBorders>
              <w:top w:val="single" w:sz="4" w:space="0" w:color="auto"/>
              <w:left w:val="nil"/>
              <w:bottom w:val="single" w:sz="8" w:space="0" w:color="auto"/>
              <w:right w:val="nil"/>
            </w:tcBorders>
            <w:shd w:val="clear" w:color="000000" w:fill="FFFFFF"/>
            <w:noWrap/>
            <w:vAlign w:val="bottom"/>
            <w:hideMark/>
          </w:tcPr>
          <w:p w14:paraId="7B8F2034"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HD</w:t>
            </w:r>
            <w:r>
              <w:rPr>
                <w:rFonts w:ascii="Calibri" w:eastAsia="Times New Roman" w:hAnsi="Calibri" w:cs="Calibri"/>
                <w:b/>
                <w:bCs/>
                <w:color w:val="000000"/>
                <w:sz w:val="18"/>
                <w:szCs w:val="18"/>
              </w:rPr>
              <w:t xml:space="preserve"> (%)</w:t>
            </w:r>
          </w:p>
        </w:tc>
        <w:tc>
          <w:tcPr>
            <w:tcW w:w="1740" w:type="dxa"/>
            <w:tcBorders>
              <w:top w:val="single" w:sz="4" w:space="0" w:color="auto"/>
              <w:left w:val="nil"/>
              <w:bottom w:val="single" w:sz="8" w:space="0" w:color="auto"/>
              <w:right w:val="nil"/>
            </w:tcBorders>
            <w:shd w:val="clear" w:color="000000" w:fill="FFFFFF"/>
            <w:noWrap/>
            <w:vAlign w:val="bottom"/>
            <w:hideMark/>
          </w:tcPr>
          <w:p w14:paraId="3CD35823"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PD</w:t>
            </w:r>
            <w:r>
              <w:rPr>
                <w:rFonts w:ascii="Calibri" w:eastAsia="Times New Roman" w:hAnsi="Calibri" w:cs="Calibri"/>
                <w:b/>
                <w:bCs/>
                <w:color w:val="000000"/>
                <w:sz w:val="18"/>
                <w:szCs w:val="18"/>
              </w:rPr>
              <w:t xml:space="preserve"> (%)</w:t>
            </w:r>
          </w:p>
        </w:tc>
        <w:tc>
          <w:tcPr>
            <w:tcW w:w="1700" w:type="dxa"/>
            <w:tcBorders>
              <w:top w:val="single" w:sz="4" w:space="0" w:color="auto"/>
              <w:left w:val="nil"/>
              <w:bottom w:val="single" w:sz="8" w:space="0" w:color="auto"/>
              <w:right w:val="nil"/>
            </w:tcBorders>
            <w:shd w:val="clear" w:color="000000" w:fill="FFFFFF"/>
            <w:noWrap/>
            <w:vAlign w:val="bottom"/>
            <w:hideMark/>
          </w:tcPr>
          <w:p w14:paraId="12E90A43"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Tx</w:t>
            </w:r>
            <w:r>
              <w:rPr>
                <w:rFonts w:ascii="Calibri" w:eastAsia="Times New Roman" w:hAnsi="Calibri" w:cs="Calibri"/>
                <w:b/>
                <w:bCs/>
                <w:color w:val="000000"/>
                <w:sz w:val="18"/>
                <w:szCs w:val="18"/>
              </w:rPr>
              <w:t xml:space="preserve"> (%)</w:t>
            </w:r>
          </w:p>
        </w:tc>
      </w:tr>
      <w:tr w:rsidR="00A86EFC" w:rsidRPr="00A86EFC" w14:paraId="4100049A"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30E2A38D"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15–24</w:t>
            </w:r>
          </w:p>
        </w:tc>
        <w:tc>
          <w:tcPr>
            <w:tcW w:w="1780" w:type="dxa"/>
            <w:tcBorders>
              <w:top w:val="nil"/>
              <w:left w:val="nil"/>
              <w:bottom w:val="nil"/>
              <w:right w:val="nil"/>
            </w:tcBorders>
            <w:shd w:val="clear" w:color="000000" w:fill="FFFFFF"/>
            <w:noWrap/>
            <w:vAlign w:val="bottom"/>
            <w:hideMark/>
          </w:tcPr>
          <w:p w14:paraId="01A92D58"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1,1</w:t>
            </w:r>
          </w:p>
        </w:tc>
        <w:tc>
          <w:tcPr>
            <w:tcW w:w="1740" w:type="dxa"/>
            <w:tcBorders>
              <w:top w:val="nil"/>
              <w:left w:val="nil"/>
              <w:bottom w:val="nil"/>
              <w:right w:val="nil"/>
            </w:tcBorders>
            <w:shd w:val="clear" w:color="000000" w:fill="FFFFFF"/>
            <w:noWrap/>
            <w:vAlign w:val="bottom"/>
            <w:hideMark/>
          </w:tcPr>
          <w:p w14:paraId="523D49A2"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2,1</w:t>
            </w:r>
          </w:p>
        </w:tc>
        <w:tc>
          <w:tcPr>
            <w:tcW w:w="1700" w:type="dxa"/>
            <w:tcBorders>
              <w:top w:val="nil"/>
              <w:left w:val="nil"/>
              <w:bottom w:val="nil"/>
              <w:right w:val="nil"/>
            </w:tcBorders>
            <w:shd w:val="clear" w:color="000000" w:fill="FFFFFF"/>
            <w:noWrap/>
            <w:vAlign w:val="bottom"/>
            <w:hideMark/>
          </w:tcPr>
          <w:p w14:paraId="143E9C54"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3,0</w:t>
            </w:r>
          </w:p>
        </w:tc>
      </w:tr>
      <w:tr w:rsidR="00A86EFC" w:rsidRPr="00A86EFC" w14:paraId="59822FE8"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38BD69BA"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25–34</w:t>
            </w:r>
          </w:p>
        </w:tc>
        <w:tc>
          <w:tcPr>
            <w:tcW w:w="1780" w:type="dxa"/>
            <w:tcBorders>
              <w:top w:val="nil"/>
              <w:left w:val="nil"/>
              <w:bottom w:val="nil"/>
              <w:right w:val="nil"/>
            </w:tcBorders>
            <w:shd w:val="clear" w:color="000000" w:fill="FFFFFF"/>
            <w:noWrap/>
            <w:vAlign w:val="bottom"/>
            <w:hideMark/>
          </w:tcPr>
          <w:p w14:paraId="558DDFFB"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3,6</w:t>
            </w:r>
          </w:p>
        </w:tc>
        <w:tc>
          <w:tcPr>
            <w:tcW w:w="1740" w:type="dxa"/>
            <w:tcBorders>
              <w:top w:val="nil"/>
              <w:left w:val="nil"/>
              <w:bottom w:val="nil"/>
              <w:right w:val="nil"/>
            </w:tcBorders>
            <w:shd w:val="clear" w:color="000000" w:fill="FFFFFF"/>
            <w:noWrap/>
            <w:vAlign w:val="bottom"/>
            <w:hideMark/>
          </w:tcPr>
          <w:p w14:paraId="3ED6911A"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3,1</w:t>
            </w:r>
          </w:p>
        </w:tc>
        <w:tc>
          <w:tcPr>
            <w:tcW w:w="1700" w:type="dxa"/>
            <w:tcBorders>
              <w:top w:val="nil"/>
              <w:left w:val="nil"/>
              <w:bottom w:val="nil"/>
              <w:right w:val="nil"/>
            </w:tcBorders>
            <w:shd w:val="clear" w:color="000000" w:fill="FFFFFF"/>
            <w:noWrap/>
            <w:vAlign w:val="bottom"/>
            <w:hideMark/>
          </w:tcPr>
          <w:p w14:paraId="48896205"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6,3</w:t>
            </w:r>
          </w:p>
        </w:tc>
      </w:tr>
      <w:tr w:rsidR="00A86EFC" w:rsidRPr="00A86EFC" w14:paraId="6752801A"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7274CC2B"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35–44</w:t>
            </w:r>
          </w:p>
        </w:tc>
        <w:tc>
          <w:tcPr>
            <w:tcW w:w="1780" w:type="dxa"/>
            <w:tcBorders>
              <w:top w:val="nil"/>
              <w:left w:val="nil"/>
              <w:bottom w:val="nil"/>
              <w:right w:val="nil"/>
            </w:tcBorders>
            <w:shd w:val="clear" w:color="000000" w:fill="FFFFFF"/>
            <w:noWrap/>
            <w:vAlign w:val="bottom"/>
            <w:hideMark/>
          </w:tcPr>
          <w:p w14:paraId="05C97540"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5,6</w:t>
            </w:r>
          </w:p>
        </w:tc>
        <w:tc>
          <w:tcPr>
            <w:tcW w:w="1740" w:type="dxa"/>
            <w:tcBorders>
              <w:top w:val="nil"/>
              <w:left w:val="nil"/>
              <w:bottom w:val="nil"/>
              <w:right w:val="nil"/>
            </w:tcBorders>
            <w:shd w:val="clear" w:color="000000" w:fill="FFFFFF"/>
            <w:noWrap/>
            <w:vAlign w:val="bottom"/>
            <w:hideMark/>
          </w:tcPr>
          <w:p w14:paraId="1CA3D3D2"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7,0</w:t>
            </w:r>
          </w:p>
        </w:tc>
        <w:tc>
          <w:tcPr>
            <w:tcW w:w="1700" w:type="dxa"/>
            <w:tcBorders>
              <w:top w:val="nil"/>
              <w:left w:val="nil"/>
              <w:bottom w:val="nil"/>
              <w:right w:val="nil"/>
            </w:tcBorders>
            <w:shd w:val="clear" w:color="000000" w:fill="FFFFFF"/>
            <w:noWrap/>
            <w:vAlign w:val="bottom"/>
            <w:hideMark/>
          </w:tcPr>
          <w:p w14:paraId="5401E246"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12,5</w:t>
            </w:r>
          </w:p>
        </w:tc>
      </w:tr>
      <w:tr w:rsidR="00A86EFC" w:rsidRPr="00A86EFC" w14:paraId="10E0FD1A"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63095C21"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45–54</w:t>
            </w:r>
          </w:p>
        </w:tc>
        <w:tc>
          <w:tcPr>
            <w:tcW w:w="1780" w:type="dxa"/>
            <w:tcBorders>
              <w:top w:val="nil"/>
              <w:left w:val="nil"/>
              <w:bottom w:val="nil"/>
              <w:right w:val="nil"/>
            </w:tcBorders>
            <w:shd w:val="clear" w:color="000000" w:fill="FFFFFF"/>
            <w:noWrap/>
            <w:vAlign w:val="bottom"/>
            <w:hideMark/>
          </w:tcPr>
          <w:p w14:paraId="79205366"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11,7</w:t>
            </w:r>
          </w:p>
        </w:tc>
        <w:tc>
          <w:tcPr>
            <w:tcW w:w="1740" w:type="dxa"/>
            <w:tcBorders>
              <w:top w:val="nil"/>
              <w:left w:val="nil"/>
              <w:bottom w:val="nil"/>
              <w:right w:val="nil"/>
            </w:tcBorders>
            <w:shd w:val="clear" w:color="000000" w:fill="FFFFFF"/>
            <w:noWrap/>
            <w:vAlign w:val="bottom"/>
            <w:hideMark/>
          </w:tcPr>
          <w:p w14:paraId="682C6218"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12,5</w:t>
            </w:r>
          </w:p>
        </w:tc>
        <w:tc>
          <w:tcPr>
            <w:tcW w:w="1700" w:type="dxa"/>
            <w:tcBorders>
              <w:top w:val="nil"/>
              <w:left w:val="nil"/>
              <w:bottom w:val="nil"/>
              <w:right w:val="nil"/>
            </w:tcBorders>
            <w:shd w:val="clear" w:color="000000" w:fill="FFFFFF"/>
            <w:noWrap/>
            <w:vAlign w:val="bottom"/>
            <w:hideMark/>
          </w:tcPr>
          <w:p w14:paraId="09BC1E3F"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21,6</w:t>
            </w:r>
          </w:p>
        </w:tc>
      </w:tr>
      <w:tr w:rsidR="00A86EFC" w:rsidRPr="00A86EFC" w14:paraId="5AD096A9"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225A9A5A"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55–64</w:t>
            </w:r>
          </w:p>
        </w:tc>
        <w:tc>
          <w:tcPr>
            <w:tcW w:w="1780" w:type="dxa"/>
            <w:tcBorders>
              <w:top w:val="nil"/>
              <w:left w:val="nil"/>
              <w:bottom w:val="nil"/>
              <w:right w:val="nil"/>
            </w:tcBorders>
            <w:shd w:val="clear" w:color="000000" w:fill="FFFFFF"/>
            <w:noWrap/>
            <w:vAlign w:val="bottom"/>
            <w:hideMark/>
          </w:tcPr>
          <w:p w14:paraId="08E02240"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17,6</w:t>
            </w:r>
          </w:p>
        </w:tc>
        <w:tc>
          <w:tcPr>
            <w:tcW w:w="1740" w:type="dxa"/>
            <w:tcBorders>
              <w:top w:val="nil"/>
              <w:left w:val="nil"/>
              <w:bottom w:val="nil"/>
              <w:right w:val="nil"/>
            </w:tcBorders>
            <w:shd w:val="clear" w:color="000000" w:fill="FFFFFF"/>
            <w:noWrap/>
            <w:vAlign w:val="bottom"/>
            <w:hideMark/>
          </w:tcPr>
          <w:p w14:paraId="198EA388"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16,8</w:t>
            </w:r>
          </w:p>
        </w:tc>
        <w:tc>
          <w:tcPr>
            <w:tcW w:w="1700" w:type="dxa"/>
            <w:tcBorders>
              <w:top w:val="nil"/>
              <w:left w:val="nil"/>
              <w:bottom w:val="nil"/>
              <w:right w:val="nil"/>
            </w:tcBorders>
            <w:shd w:val="clear" w:color="000000" w:fill="FFFFFF"/>
            <w:noWrap/>
            <w:vAlign w:val="bottom"/>
            <w:hideMark/>
          </w:tcPr>
          <w:p w14:paraId="10244751"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26,0</w:t>
            </w:r>
          </w:p>
        </w:tc>
      </w:tr>
      <w:tr w:rsidR="00A86EFC" w:rsidRPr="00A86EFC" w14:paraId="6D7E47F7"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0F30BFFE"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65–74</w:t>
            </w:r>
          </w:p>
        </w:tc>
        <w:tc>
          <w:tcPr>
            <w:tcW w:w="1780" w:type="dxa"/>
            <w:tcBorders>
              <w:top w:val="nil"/>
              <w:left w:val="nil"/>
              <w:bottom w:val="nil"/>
              <w:right w:val="nil"/>
            </w:tcBorders>
            <w:shd w:val="clear" w:color="000000" w:fill="FFFFFF"/>
            <w:noWrap/>
            <w:vAlign w:val="bottom"/>
            <w:hideMark/>
          </w:tcPr>
          <w:p w14:paraId="5C422AA5"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27,0</w:t>
            </w:r>
          </w:p>
        </w:tc>
        <w:tc>
          <w:tcPr>
            <w:tcW w:w="1740" w:type="dxa"/>
            <w:tcBorders>
              <w:top w:val="nil"/>
              <w:left w:val="nil"/>
              <w:bottom w:val="nil"/>
              <w:right w:val="nil"/>
            </w:tcBorders>
            <w:shd w:val="clear" w:color="000000" w:fill="FFFFFF"/>
            <w:noWrap/>
            <w:vAlign w:val="bottom"/>
            <w:hideMark/>
          </w:tcPr>
          <w:p w14:paraId="716ADEB2"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29,4</w:t>
            </w:r>
          </w:p>
        </w:tc>
        <w:tc>
          <w:tcPr>
            <w:tcW w:w="1700" w:type="dxa"/>
            <w:tcBorders>
              <w:top w:val="nil"/>
              <w:left w:val="nil"/>
              <w:bottom w:val="nil"/>
              <w:right w:val="nil"/>
            </w:tcBorders>
            <w:shd w:val="clear" w:color="000000" w:fill="FFFFFF"/>
            <w:noWrap/>
            <w:vAlign w:val="bottom"/>
            <w:hideMark/>
          </w:tcPr>
          <w:p w14:paraId="2BEE3BF1"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24,6</w:t>
            </w:r>
          </w:p>
        </w:tc>
      </w:tr>
      <w:tr w:rsidR="00A86EFC" w:rsidRPr="00A86EFC" w14:paraId="385C1392" w14:textId="77777777" w:rsidTr="00A86EFC">
        <w:trPr>
          <w:trHeight w:val="285"/>
          <w:jc w:val="center"/>
        </w:trPr>
        <w:tc>
          <w:tcPr>
            <w:tcW w:w="1200" w:type="dxa"/>
            <w:tcBorders>
              <w:top w:val="nil"/>
              <w:left w:val="nil"/>
              <w:bottom w:val="nil"/>
              <w:right w:val="nil"/>
            </w:tcBorders>
            <w:shd w:val="clear" w:color="000000" w:fill="FFFFFF"/>
            <w:noWrap/>
            <w:vAlign w:val="bottom"/>
            <w:hideMark/>
          </w:tcPr>
          <w:p w14:paraId="209BD082"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75–84</w:t>
            </w:r>
          </w:p>
        </w:tc>
        <w:tc>
          <w:tcPr>
            <w:tcW w:w="1780" w:type="dxa"/>
            <w:tcBorders>
              <w:top w:val="nil"/>
              <w:left w:val="nil"/>
              <w:bottom w:val="nil"/>
              <w:right w:val="nil"/>
            </w:tcBorders>
            <w:shd w:val="clear" w:color="000000" w:fill="FFFFFF"/>
            <w:noWrap/>
            <w:vAlign w:val="bottom"/>
            <w:hideMark/>
          </w:tcPr>
          <w:p w14:paraId="149AD5C8"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26,7</w:t>
            </w:r>
          </w:p>
        </w:tc>
        <w:tc>
          <w:tcPr>
            <w:tcW w:w="1740" w:type="dxa"/>
            <w:tcBorders>
              <w:top w:val="nil"/>
              <w:left w:val="nil"/>
              <w:bottom w:val="nil"/>
              <w:right w:val="nil"/>
            </w:tcBorders>
            <w:shd w:val="clear" w:color="000000" w:fill="FFFFFF"/>
            <w:noWrap/>
            <w:vAlign w:val="bottom"/>
            <w:hideMark/>
          </w:tcPr>
          <w:p w14:paraId="1308293C"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24,1</w:t>
            </w:r>
          </w:p>
        </w:tc>
        <w:tc>
          <w:tcPr>
            <w:tcW w:w="1700" w:type="dxa"/>
            <w:tcBorders>
              <w:top w:val="nil"/>
              <w:left w:val="nil"/>
              <w:bottom w:val="nil"/>
              <w:right w:val="nil"/>
            </w:tcBorders>
            <w:shd w:val="clear" w:color="000000" w:fill="FFFFFF"/>
            <w:noWrap/>
            <w:vAlign w:val="bottom"/>
            <w:hideMark/>
          </w:tcPr>
          <w:p w14:paraId="3B229287"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5,8</w:t>
            </w:r>
          </w:p>
        </w:tc>
      </w:tr>
      <w:tr w:rsidR="00A86EFC" w:rsidRPr="00A86EFC" w14:paraId="5C9D245B" w14:textId="77777777" w:rsidTr="00A86EFC">
        <w:trPr>
          <w:trHeight w:val="293"/>
          <w:jc w:val="center"/>
        </w:trPr>
        <w:tc>
          <w:tcPr>
            <w:tcW w:w="1200" w:type="dxa"/>
            <w:tcBorders>
              <w:top w:val="nil"/>
              <w:left w:val="nil"/>
              <w:bottom w:val="single" w:sz="8" w:space="0" w:color="auto"/>
              <w:right w:val="nil"/>
            </w:tcBorders>
            <w:shd w:val="clear" w:color="000000" w:fill="FFFFFF"/>
            <w:noWrap/>
            <w:vAlign w:val="bottom"/>
            <w:hideMark/>
          </w:tcPr>
          <w:p w14:paraId="3F67894D"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85-</w:t>
            </w:r>
          </w:p>
        </w:tc>
        <w:tc>
          <w:tcPr>
            <w:tcW w:w="1780" w:type="dxa"/>
            <w:tcBorders>
              <w:top w:val="nil"/>
              <w:left w:val="nil"/>
              <w:bottom w:val="single" w:sz="8" w:space="0" w:color="auto"/>
              <w:right w:val="nil"/>
            </w:tcBorders>
            <w:shd w:val="clear" w:color="000000" w:fill="FFFFFF"/>
            <w:noWrap/>
            <w:vAlign w:val="bottom"/>
            <w:hideMark/>
          </w:tcPr>
          <w:p w14:paraId="020B30D5"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6,8</w:t>
            </w:r>
          </w:p>
        </w:tc>
        <w:tc>
          <w:tcPr>
            <w:tcW w:w="1740" w:type="dxa"/>
            <w:tcBorders>
              <w:top w:val="nil"/>
              <w:left w:val="nil"/>
              <w:bottom w:val="single" w:sz="8" w:space="0" w:color="auto"/>
              <w:right w:val="nil"/>
            </w:tcBorders>
            <w:shd w:val="clear" w:color="000000" w:fill="FFFFFF"/>
            <w:noWrap/>
            <w:vAlign w:val="bottom"/>
            <w:hideMark/>
          </w:tcPr>
          <w:p w14:paraId="025D1767"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4,9</w:t>
            </w:r>
          </w:p>
        </w:tc>
        <w:tc>
          <w:tcPr>
            <w:tcW w:w="1700" w:type="dxa"/>
            <w:tcBorders>
              <w:top w:val="nil"/>
              <w:left w:val="nil"/>
              <w:bottom w:val="single" w:sz="8" w:space="0" w:color="auto"/>
              <w:right w:val="nil"/>
            </w:tcBorders>
            <w:shd w:val="clear" w:color="000000" w:fill="FFFFFF"/>
            <w:noWrap/>
            <w:vAlign w:val="bottom"/>
            <w:hideMark/>
          </w:tcPr>
          <w:p w14:paraId="48576A7D"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0,2</w:t>
            </w:r>
          </w:p>
        </w:tc>
      </w:tr>
    </w:tbl>
    <w:p w14:paraId="13889F49" w14:textId="77777777" w:rsidR="000D4D82" w:rsidRPr="004D53DE" w:rsidRDefault="004D53DE" w:rsidP="00C71441">
      <w:pPr>
        <w:rPr>
          <w:sz w:val="16"/>
          <w:szCs w:val="16"/>
        </w:rPr>
      </w:pPr>
      <w:r>
        <w:rPr>
          <w:sz w:val="16"/>
          <w:szCs w:val="16"/>
        </w:rPr>
        <w:t xml:space="preserve">                                     </w:t>
      </w:r>
      <w:r w:rsidR="00C6649D" w:rsidRPr="004D53DE">
        <w:rPr>
          <w:sz w:val="16"/>
          <w:szCs w:val="16"/>
        </w:rPr>
        <w:t xml:space="preserve">Tabell: </w:t>
      </w:r>
      <w:r w:rsidRPr="004D53DE">
        <w:rPr>
          <w:sz w:val="16"/>
          <w:szCs w:val="16"/>
        </w:rPr>
        <w:t xml:space="preserve">Andel </w:t>
      </w:r>
      <w:r>
        <w:rPr>
          <w:sz w:val="16"/>
          <w:szCs w:val="16"/>
        </w:rPr>
        <w:t xml:space="preserve">av hela befolkningen </w:t>
      </w:r>
      <w:r w:rsidRPr="004D53DE">
        <w:rPr>
          <w:sz w:val="16"/>
          <w:szCs w:val="16"/>
        </w:rPr>
        <w:t>i åldersklasser</w:t>
      </w:r>
      <w:r>
        <w:rPr>
          <w:sz w:val="16"/>
          <w:szCs w:val="16"/>
        </w:rPr>
        <w:t>na</w:t>
      </w:r>
      <w:r w:rsidRPr="004D53DE">
        <w:rPr>
          <w:sz w:val="16"/>
          <w:szCs w:val="16"/>
        </w:rPr>
        <w:t xml:space="preserve"> som behandlas med HD, PD eller transplanterats.</w:t>
      </w:r>
    </w:p>
    <w:p w14:paraId="7B538065" w14:textId="77777777" w:rsidR="001E5465" w:rsidRDefault="009574A7" w:rsidP="00083A9A">
      <w:r>
        <w:t xml:space="preserve">  </w:t>
      </w:r>
      <w:r w:rsidR="000C1F1C">
        <w:t>I tabellen ovan redovisas hur patienterna i varje behandling fördelar sig i åldrarna. Lägg märke till att över 72 procent av alla transplanterade patienter är i åldrarna 45 till 74 år medan 56 procent</w:t>
      </w:r>
      <w:r w:rsidR="001E5465">
        <w:t xml:space="preserve"> (resp. 59 procent)</w:t>
      </w:r>
      <w:r w:rsidR="000C1F1C">
        <w:t xml:space="preserve"> </w:t>
      </w:r>
      <w:r w:rsidR="001E5465">
        <w:t xml:space="preserve">som behandlas med haemodialys (resp. peritonealdialys) är i samma ålderskategori. Vi konstaterar också att få patienter transplanteras i åldrarna 75 -.  Det har inga ekonomiska följder eftersom de allra flesta av dessa patienter antas vara pensionärer. </w:t>
      </w:r>
    </w:p>
    <w:p w14:paraId="4D718A77" w14:textId="77777777" w:rsidR="00A86EFC" w:rsidRDefault="001E5465" w:rsidP="00083A9A">
      <w:r>
        <w:t xml:space="preserve"> </w:t>
      </w:r>
      <w:r w:rsidR="00001DD5">
        <w:t>I tabellen nedan visar vi även hur de olika behandlingsformerna utnyttjas i olika åldersklasser. Vi ser tydligt att transplantation före</w:t>
      </w:r>
      <w:r w:rsidR="00B6159C">
        <w:t xml:space="preserve">dras för yngre individer. </w:t>
      </w:r>
    </w:p>
    <w:tbl>
      <w:tblPr>
        <w:tblW w:w="7371" w:type="dxa"/>
        <w:jc w:val="center"/>
        <w:tblCellMar>
          <w:left w:w="70" w:type="dxa"/>
          <w:right w:w="70" w:type="dxa"/>
        </w:tblCellMar>
        <w:tblLook w:val="04A0" w:firstRow="1" w:lastRow="0" w:firstColumn="1" w:lastColumn="0" w:noHBand="0" w:noVBand="1"/>
      </w:tblPr>
      <w:tblGrid>
        <w:gridCol w:w="980"/>
        <w:gridCol w:w="2344"/>
        <w:gridCol w:w="2410"/>
        <w:gridCol w:w="2410"/>
      </w:tblGrid>
      <w:tr w:rsidR="00A86EFC" w:rsidRPr="00A86EFC" w14:paraId="343D92E1" w14:textId="77777777" w:rsidTr="00025818">
        <w:trPr>
          <w:trHeight w:val="293"/>
          <w:jc w:val="center"/>
        </w:trPr>
        <w:tc>
          <w:tcPr>
            <w:tcW w:w="207" w:type="dxa"/>
            <w:tcBorders>
              <w:top w:val="single" w:sz="4" w:space="0" w:color="auto"/>
              <w:left w:val="nil"/>
              <w:bottom w:val="single" w:sz="8" w:space="0" w:color="auto"/>
              <w:right w:val="nil"/>
            </w:tcBorders>
            <w:shd w:val="clear" w:color="000000" w:fill="FFFFFF"/>
            <w:noWrap/>
            <w:vAlign w:val="bottom"/>
            <w:hideMark/>
          </w:tcPr>
          <w:p w14:paraId="17D9E71A"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Åldersklass</w:t>
            </w:r>
          </w:p>
        </w:tc>
        <w:tc>
          <w:tcPr>
            <w:tcW w:w="2344" w:type="dxa"/>
            <w:tcBorders>
              <w:top w:val="single" w:sz="4" w:space="0" w:color="auto"/>
              <w:left w:val="nil"/>
              <w:bottom w:val="single" w:sz="8" w:space="0" w:color="auto"/>
              <w:right w:val="nil"/>
            </w:tcBorders>
            <w:shd w:val="clear" w:color="000000" w:fill="FFFFFF"/>
            <w:noWrap/>
            <w:vAlign w:val="bottom"/>
            <w:hideMark/>
          </w:tcPr>
          <w:p w14:paraId="1D838B31"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HD (% av åldersklassen)</w:t>
            </w:r>
          </w:p>
        </w:tc>
        <w:tc>
          <w:tcPr>
            <w:tcW w:w="2410" w:type="dxa"/>
            <w:tcBorders>
              <w:top w:val="single" w:sz="4" w:space="0" w:color="auto"/>
              <w:left w:val="nil"/>
              <w:bottom w:val="single" w:sz="8" w:space="0" w:color="auto"/>
              <w:right w:val="nil"/>
            </w:tcBorders>
            <w:shd w:val="clear" w:color="000000" w:fill="FFFFFF"/>
            <w:noWrap/>
            <w:vAlign w:val="bottom"/>
            <w:hideMark/>
          </w:tcPr>
          <w:p w14:paraId="5A7F99DC"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PD (% av åldersklassen)</w:t>
            </w:r>
          </w:p>
        </w:tc>
        <w:tc>
          <w:tcPr>
            <w:tcW w:w="2410" w:type="dxa"/>
            <w:tcBorders>
              <w:top w:val="single" w:sz="4" w:space="0" w:color="auto"/>
              <w:left w:val="nil"/>
              <w:bottom w:val="single" w:sz="8" w:space="0" w:color="auto"/>
              <w:right w:val="nil"/>
            </w:tcBorders>
            <w:shd w:val="clear" w:color="000000" w:fill="FFFFFF"/>
            <w:noWrap/>
            <w:vAlign w:val="bottom"/>
            <w:hideMark/>
          </w:tcPr>
          <w:p w14:paraId="6C3E7C90" w14:textId="77777777" w:rsidR="00A86EFC" w:rsidRPr="00A86EFC" w:rsidRDefault="00A86EFC" w:rsidP="00A86EFC">
            <w:pPr>
              <w:spacing w:after="0" w:line="240" w:lineRule="auto"/>
              <w:jc w:val="center"/>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Tx (% av åldersklassen)</w:t>
            </w:r>
          </w:p>
        </w:tc>
      </w:tr>
      <w:tr w:rsidR="00A86EFC" w:rsidRPr="00A86EFC" w14:paraId="27EFC59B"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3938913D"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15–24</w:t>
            </w:r>
          </w:p>
        </w:tc>
        <w:tc>
          <w:tcPr>
            <w:tcW w:w="2344" w:type="dxa"/>
            <w:tcBorders>
              <w:top w:val="nil"/>
              <w:left w:val="nil"/>
              <w:bottom w:val="nil"/>
              <w:right w:val="nil"/>
            </w:tcBorders>
            <w:shd w:val="clear" w:color="000000" w:fill="FFFFFF"/>
            <w:noWrap/>
            <w:vAlign w:val="bottom"/>
            <w:hideMark/>
          </w:tcPr>
          <w:p w14:paraId="4A28A049"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15,9</w:t>
            </w:r>
          </w:p>
        </w:tc>
        <w:tc>
          <w:tcPr>
            <w:tcW w:w="2410" w:type="dxa"/>
            <w:tcBorders>
              <w:top w:val="nil"/>
              <w:left w:val="nil"/>
              <w:bottom w:val="nil"/>
              <w:right w:val="nil"/>
            </w:tcBorders>
            <w:shd w:val="clear" w:color="000000" w:fill="FFFFFF"/>
            <w:noWrap/>
            <w:vAlign w:val="bottom"/>
            <w:hideMark/>
          </w:tcPr>
          <w:p w14:paraId="1399E32B"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7,9</w:t>
            </w:r>
          </w:p>
        </w:tc>
        <w:tc>
          <w:tcPr>
            <w:tcW w:w="2410" w:type="dxa"/>
            <w:tcBorders>
              <w:top w:val="nil"/>
              <w:left w:val="nil"/>
              <w:bottom w:val="nil"/>
              <w:right w:val="nil"/>
            </w:tcBorders>
            <w:shd w:val="clear" w:color="000000" w:fill="FFFFFF"/>
            <w:noWrap/>
            <w:vAlign w:val="bottom"/>
            <w:hideMark/>
          </w:tcPr>
          <w:p w14:paraId="11ACA983"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76,2</w:t>
            </w:r>
          </w:p>
        </w:tc>
      </w:tr>
      <w:tr w:rsidR="00A86EFC" w:rsidRPr="00A86EFC" w14:paraId="3901F256"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347C9BEF"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25–34</w:t>
            </w:r>
          </w:p>
        </w:tc>
        <w:tc>
          <w:tcPr>
            <w:tcW w:w="2344" w:type="dxa"/>
            <w:tcBorders>
              <w:top w:val="nil"/>
              <w:left w:val="nil"/>
              <w:bottom w:val="nil"/>
              <w:right w:val="nil"/>
            </w:tcBorders>
            <w:shd w:val="clear" w:color="000000" w:fill="FFFFFF"/>
            <w:noWrap/>
            <w:vAlign w:val="bottom"/>
            <w:hideMark/>
          </w:tcPr>
          <w:p w14:paraId="2B76E463"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23,1</w:t>
            </w:r>
          </w:p>
        </w:tc>
        <w:tc>
          <w:tcPr>
            <w:tcW w:w="2410" w:type="dxa"/>
            <w:tcBorders>
              <w:top w:val="nil"/>
              <w:left w:val="nil"/>
              <w:bottom w:val="nil"/>
              <w:right w:val="nil"/>
            </w:tcBorders>
            <w:shd w:val="clear" w:color="000000" w:fill="FFFFFF"/>
            <w:noWrap/>
            <w:vAlign w:val="bottom"/>
            <w:hideMark/>
          </w:tcPr>
          <w:p w14:paraId="0B246529"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5,3</w:t>
            </w:r>
          </w:p>
        </w:tc>
        <w:tc>
          <w:tcPr>
            <w:tcW w:w="2410" w:type="dxa"/>
            <w:tcBorders>
              <w:top w:val="nil"/>
              <w:left w:val="nil"/>
              <w:bottom w:val="nil"/>
              <w:right w:val="nil"/>
            </w:tcBorders>
            <w:shd w:val="clear" w:color="000000" w:fill="FFFFFF"/>
            <w:noWrap/>
            <w:vAlign w:val="bottom"/>
            <w:hideMark/>
          </w:tcPr>
          <w:p w14:paraId="0E499C68"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71,6</w:t>
            </w:r>
          </w:p>
        </w:tc>
      </w:tr>
      <w:tr w:rsidR="00A86EFC" w:rsidRPr="00A86EFC" w14:paraId="019049C2"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1ABA9BB2"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35–44</w:t>
            </w:r>
          </w:p>
        </w:tc>
        <w:tc>
          <w:tcPr>
            <w:tcW w:w="2344" w:type="dxa"/>
            <w:tcBorders>
              <w:top w:val="nil"/>
              <w:left w:val="nil"/>
              <w:bottom w:val="nil"/>
              <w:right w:val="nil"/>
            </w:tcBorders>
            <w:shd w:val="clear" w:color="000000" w:fill="FFFFFF"/>
            <w:noWrap/>
            <w:vAlign w:val="bottom"/>
            <w:hideMark/>
          </w:tcPr>
          <w:p w14:paraId="03F3B5F6"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19,0</w:t>
            </w:r>
          </w:p>
        </w:tc>
        <w:tc>
          <w:tcPr>
            <w:tcW w:w="2410" w:type="dxa"/>
            <w:tcBorders>
              <w:top w:val="nil"/>
              <w:left w:val="nil"/>
              <w:bottom w:val="nil"/>
              <w:right w:val="nil"/>
            </w:tcBorders>
            <w:shd w:val="clear" w:color="000000" w:fill="FFFFFF"/>
            <w:noWrap/>
            <w:vAlign w:val="bottom"/>
            <w:hideMark/>
          </w:tcPr>
          <w:p w14:paraId="37985DFB"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6,3</w:t>
            </w:r>
          </w:p>
        </w:tc>
        <w:tc>
          <w:tcPr>
            <w:tcW w:w="2410" w:type="dxa"/>
            <w:tcBorders>
              <w:top w:val="nil"/>
              <w:left w:val="nil"/>
              <w:bottom w:val="nil"/>
              <w:right w:val="nil"/>
            </w:tcBorders>
            <w:shd w:val="clear" w:color="000000" w:fill="FFFFFF"/>
            <w:noWrap/>
            <w:vAlign w:val="bottom"/>
            <w:hideMark/>
          </w:tcPr>
          <w:p w14:paraId="6B5A4830"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74,8</w:t>
            </w:r>
          </w:p>
        </w:tc>
      </w:tr>
      <w:tr w:rsidR="00A86EFC" w:rsidRPr="00A86EFC" w14:paraId="1476BF31"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176A55BF"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45–54</w:t>
            </w:r>
          </w:p>
        </w:tc>
        <w:tc>
          <w:tcPr>
            <w:tcW w:w="2344" w:type="dxa"/>
            <w:tcBorders>
              <w:top w:val="nil"/>
              <w:left w:val="nil"/>
              <w:bottom w:val="nil"/>
              <w:right w:val="nil"/>
            </w:tcBorders>
            <w:shd w:val="clear" w:color="000000" w:fill="FFFFFF"/>
            <w:noWrap/>
            <w:vAlign w:val="bottom"/>
            <w:hideMark/>
          </w:tcPr>
          <w:p w14:paraId="656831B0"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22,2</w:t>
            </w:r>
          </w:p>
        </w:tc>
        <w:tc>
          <w:tcPr>
            <w:tcW w:w="2410" w:type="dxa"/>
            <w:tcBorders>
              <w:top w:val="nil"/>
              <w:left w:val="nil"/>
              <w:bottom w:val="nil"/>
              <w:right w:val="nil"/>
            </w:tcBorders>
            <w:shd w:val="clear" w:color="000000" w:fill="FFFFFF"/>
            <w:noWrap/>
            <w:vAlign w:val="bottom"/>
            <w:hideMark/>
          </w:tcPr>
          <w:p w14:paraId="69472635"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6,2</w:t>
            </w:r>
          </w:p>
        </w:tc>
        <w:tc>
          <w:tcPr>
            <w:tcW w:w="2410" w:type="dxa"/>
            <w:tcBorders>
              <w:top w:val="nil"/>
              <w:left w:val="nil"/>
              <w:bottom w:val="nil"/>
              <w:right w:val="nil"/>
            </w:tcBorders>
            <w:shd w:val="clear" w:color="000000" w:fill="FFFFFF"/>
            <w:noWrap/>
            <w:vAlign w:val="bottom"/>
            <w:hideMark/>
          </w:tcPr>
          <w:p w14:paraId="6991ABBF"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71,6</w:t>
            </w:r>
          </w:p>
        </w:tc>
      </w:tr>
      <w:tr w:rsidR="00A86EFC" w:rsidRPr="00A86EFC" w14:paraId="2815620D"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2A91777F"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55–64</w:t>
            </w:r>
          </w:p>
        </w:tc>
        <w:tc>
          <w:tcPr>
            <w:tcW w:w="2344" w:type="dxa"/>
            <w:tcBorders>
              <w:top w:val="nil"/>
              <w:left w:val="nil"/>
              <w:bottom w:val="nil"/>
              <w:right w:val="nil"/>
            </w:tcBorders>
            <w:shd w:val="clear" w:color="000000" w:fill="FFFFFF"/>
            <w:noWrap/>
            <w:vAlign w:val="bottom"/>
            <w:hideMark/>
          </w:tcPr>
          <w:p w14:paraId="29A1FB8F"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26,1</w:t>
            </w:r>
          </w:p>
        </w:tc>
        <w:tc>
          <w:tcPr>
            <w:tcW w:w="2410" w:type="dxa"/>
            <w:tcBorders>
              <w:top w:val="nil"/>
              <w:left w:val="nil"/>
              <w:bottom w:val="nil"/>
              <w:right w:val="nil"/>
            </w:tcBorders>
            <w:shd w:val="clear" w:color="000000" w:fill="FFFFFF"/>
            <w:noWrap/>
            <w:vAlign w:val="bottom"/>
            <w:hideMark/>
          </w:tcPr>
          <w:p w14:paraId="463C6E2C"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6,5</w:t>
            </w:r>
          </w:p>
        </w:tc>
        <w:tc>
          <w:tcPr>
            <w:tcW w:w="2410" w:type="dxa"/>
            <w:tcBorders>
              <w:top w:val="nil"/>
              <w:left w:val="nil"/>
              <w:bottom w:val="nil"/>
              <w:right w:val="nil"/>
            </w:tcBorders>
            <w:shd w:val="clear" w:color="000000" w:fill="FFFFFF"/>
            <w:noWrap/>
            <w:vAlign w:val="bottom"/>
            <w:hideMark/>
          </w:tcPr>
          <w:p w14:paraId="175B63EE"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67,4</w:t>
            </w:r>
          </w:p>
        </w:tc>
      </w:tr>
      <w:tr w:rsidR="00A86EFC" w:rsidRPr="00A86EFC" w14:paraId="4C8673B1"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575F563A"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65–74</w:t>
            </w:r>
          </w:p>
        </w:tc>
        <w:tc>
          <w:tcPr>
            <w:tcW w:w="2344" w:type="dxa"/>
            <w:tcBorders>
              <w:top w:val="nil"/>
              <w:left w:val="nil"/>
              <w:bottom w:val="nil"/>
              <w:right w:val="nil"/>
            </w:tcBorders>
            <w:shd w:val="clear" w:color="000000" w:fill="FFFFFF"/>
            <w:noWrap/>
            <w:vAlign w:val="bottom"/>
            <w:hideMark/>
          </w:tcPr>
          <w:p w14:paraId="7F7BD02D"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34,7</w:t>
            </w:r>
          </w:p>
        </w:tc>
        <w:tc>
          <w:tcPr>
            <w:tcW w:w="2410" w:type="dxa"/>
            <w:tcBorders>
              <w:top w:val="nil"/>
              <w:left w:val="nil"/>
              <w:bottom w:val="nil"/>
              <w:right w:val="nil"/>
            </w:tcBorders>
            <w:shd w:val="clear" w:color="000000" w:fill="FFFFFF"/>
            <w:noWrap/>
            <w:vAlign w:val="bottom"/>
            <w:hideMark/>
          </w:tcPr>
          <w:p w14:paraId="4BEE37C5"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9,9</w:t>
            </w:r>
          </w:p>
        </w:tc>
        <w:tc>
          <w:tcPr>
            <w:tcW w:w="2410" w:type="dxa"/>
            <w:tcBorders>
              <w:top w:val="nil"/>
              <w:left w:val="nil"/>
              <w:bottom w:val="nil"/>
              <w:right w:val="nil"/>
            </w:tcBorders>
            <w:shd w:val="clear" w:color="000000" w:fill="FFFFFF"/>
            <w:noWrap/>
            <w:vAlign w:val="bottom"/>
            <w:hideMark/>
          </w:tcPr>
          <w:p w14:paraId="0CDE704A"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55,4</w:t>
            </w:r>
          </w:p>
        </w:tc>
      </w:tr>
      <w:tr w:rsidR="00A86EFC" w:rsidRPr="00A86EFC" w14:paraId="52B46960" w14:textId="77777777" w:rsidTr="00025818">
        <w:trPr>
          <w:trHeight w:val="285"/>
          <w:jc w:val="center"/>
        </w:trPr>
        <w:tc>
          <w:tcPr>
            <w:tcW w:w="207" w:type="dxa"/>
            <w:tcBorders>
              <w:top w:val="nil"/>
              <w:left w:val="nil"/>
              <w:bottom w:val="nil"/>
              <w:right w:val="nil"/>
            </w:tcBorders>
            <w:shd w:val="clear" w:color="000000" w:fill="FFFFFF"/>
            <w:noWrap/>
            <w:vAlign w:val="bottom"/>
            <w:hideMark/>
          </w:tcPr>
          <w:p w14:paraId="5D11189A"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75–84</w:t>
            </w:r>
          </w:p>
        </w:tc>
        <w:tc>
          <w:tcPr>
            <w:tcW w:w="2344" w:type="dxa"/>
            <w:tcBorders>
              <w:top w:val="nil"/>
              <w:left w:val="nil"/>
              <w:bottom w:val="nil"/>
              <w:right w:val="nil"/>
            </w:tcBorders>
            <w:shd w:val="clear" w:color="000000" w:fill="FFFFFF"/>
            <w:noWrap/>
            <w:vAlign w:val="bottom"/>
            <w:hideMark/>
          </w:tcPr>
          <w:p w14:paraId="73E9BAD6"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61,9</w:t>
            </w:r>
          </w:p>
        </w:tc>
        <w:tc>
          <w:tcPr>
            <w:tcW w:w="2410" w:type="dxa"/>
            <w:tcBorders>
              <w:top w:val="nil"/>
              <w:left w:val="nil"/>
              <w:bottom w:val="nil"/>
              <w:right w:val="nil"/>
            </w:tcBorders>
            <w:shd w:val="clear" w:color="000000" w:fill="FFFFFF"/>
            <w:noWrap/>
            <w:vAlign w:val="bottom"/>
            <w:hideMark/>
          </w:tcPr>
          <w:p w14:paraId="68B19D59"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14,7</w:t>
            </w:r>
          </w:p>
        </w:tc>
        <w:tc>
          <w:tcPr>
            <w:tcW w:w="2410" w:type="dxa"/>
            <w:tcBorders>
              <w:top w:val="nil"/>
              <w:left w:val="nil"/>
              <w:bottom w:val="nil"/>
              <w:right w:val="nil"/>
            </w:tcBorders>
            <w:shd w:val="clear" w:color="000000" w:fill="FFFFFF"/>
            <w:noWrap/>
            <w:vAlign w:val="bottom"/>
            <w:hideMark/>
          </w:tcPr>
          <w:p w14:paraId="00EE580C"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23,4</w:t>
            </w:r>
          </w:p>
        </w:tc>
      </w:tr>
      <w:tr w:rsidR="00A86EFC" w:rsidRPr="00A86EFC" w14:paraId="11B0D5F7" w14:textId="77777777" w:rsidTr="00025818">
        <w:trPr>
          <w:trHeight w:val="293"/>
          <w:jc w:val="center"/>
        </w:trPr>
        <w:tc>
          <w:tcPr>
            <w:tcW w:w="207" w:type="dxa"/>
            <w:tcBorders>
              <w:top w:val="nil"/>
              <w:left w:val="nil"/>
              <w:bottom w:val="single" w:sz="8" w:space="0" w:color="auto"/>
              <w:right w:val="nil"/>
            </w:tcBorders>
            <w:shd w:val="clear" w:color="000000" w:fill="FFFFFF"/>
            <w:noWrap/>
            <w:vAlign w:val="bottom"/>
            <w:hideMark/>
          </w:tcPr>
          <w:p w14:paraId="6E3B575F" w14:textId="77777777" w:rsidR="00A86EFC" w:rsidRPr="00A86EFC" w:rsidRDefault="00A86EFC" w:rsidP="00A86EFC">
            <w:pPr>
              <w:spacing w:after="0" w:line="240" w:lineRule="auto"/>
              <w:rPr>
                <w:rFonts w:ascii="Calibri" w:eastAsia="Times New Roman" w:hAnsi="Calibri" w:cs="Calibri"/>
                <w:b/>
                <w:bCs/>
                <w:color w:val="000000"/>
                <w:sz w:val="18"/>
                <w:szCs w:val="18"/>
              </w:rPr>
            </w:pPr>
            <w:r w:rsidRPr="00A86EFC">
              <w:rPr>
                <w:rFonts w:ascii="Calibri" w:eastAsia="Times New Roman" w:hAnsi="Calibri" w:cs="Calibri"/>
                <w:b/>
                <w:bCs/>
                <w:color w:val="000000"/>
                <w:sz w:val="18"/>
                <w:szCs w:val="18"/>
              </w:rPr>
              <w:t>85-</w:t>
            </w:r>
          </w:p>
        </w:tc>
        <w:tc>
          <w:tcPr>
            <w:tcW w:w="2344" w:type="dxa"/>
            <w:tcBorders>
              <w:top w:val="nil"/>
              <w:left w:val="nil"/>
              <w:bottom w:val="single" w:sz="8" w:space="0" w:color="auto"/>
              <w:right w:val="nil"/>
            </w:tcBorders>
            <w:shd w:val="clear" w:color="000000" w:fill="FFFFFF"/>
            <w:noWrap/>
            <w:vAlign w:val="bottom"/>
            <w:hideMark/>
          </w:tcPr>
          <w:p w14:paraId="7593D876"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81,0</w:t>
            </w:r>
          </w:p>
        </w:tc>
        <w:tc>
          <w:tcPr>
            <w:tcW w:w="2410" w:type="dxa"/>
            <w:tcBorders>
              <w:top w:val="nil"/>
              <w:left w:val="nil"/>
              <w:bottom w:val="single" w:sz="8" w:space="0" w:color="auto"/>
              <w:right w:val="nil"/>
            </w:tcBorders>
            <w:shd w:val="clear" w:color="000000" w:fill="FFFFFF"/>
            <w:noWrap/>
            <w:vAlign w:val="bottom"/>
            <w:hideMark/>
          </w:tcPr>
          <w:p w14:paraId="43E417EF"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15,5</w:t>
            </w:r>
          </w:p>
        </w:tc>
        <w:tc>
          <w:tcPr>
            <w:tcW w:w="2410" w:type="dxa"/>
            <w:tcBorders>
              <w:top w:val="nil"/>
              <w:left w:val="nil"/>
              <w:bottom w:val="single" w:sz="8" w:space="0" w:color="auto"/>
              <w:right w:val="nil"/>
            </w:tcBorders>
            <w:shd w:val="clear" w:color="000000" w:fill="FFFFFF"/>
            <w:noWrap/>
            <w:vAlign w:val="bottom"/>
            <w:hideMark/>
          </w:tcPr>
          <w:p w14:paraId="20770969" w14:textId="77777777" w:rsidR="00A86EFC" w:rsidRPr="00A86EFC" w:rsidRDefault="00A86EFC" w:rsidP="00A86EF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3,5</w:t>
            </w:r>
          </w:p>
        </w:tc>
      </w:tr>
    </w:tbl>
    <w:p w14:paraId="480D2FE2" w14:textId="77777777" w:rsidR="004D53DE" w:rsidRDefault="004D53DE" w:rsidP="004D53DE">
      <w:pPr>
        <w:rPr>
          <w:sz w:val="16"/>
          <w:szCs w:val="16"/>
        </w:rPr>
      </w:pPr>
      <w:r>
        <w:rPr>
          <w:sz w:val="16"/>
          <w:szCs w:val="16"/>
        </w:rPr>
        <w:t xml:space="preserve">     </w:t>
      </w:r>
      <w:r w:rsidR="00B6159C">
        <w:rPr>
          <w:sz w:val="16"/>
          <w:szCs w:val="16"/>
        </w:rPr>
        <w:t xml:space="preserve">         </w:t>
      </w:r>
      <w:r w:rsidRPr="004D53DE">
        <w:rPr>
          <w:sz w:val="16"/>
          <w:szCs w:val="16"/>
        </w:rPr>
        <w:t xml:space="preserve">Tabell: </w:t>
      </w:r>
      <w:r>
        <w:rPr>
          <w:sz w:val="16"/>
          <w:szCs w:val="16"/>
        </w:rPr>
        <w:t>Fördelning HD, PD eller transplanterade i varje åldersklass.</w:t>
      </w:r>
    </w:p>
    <w:p w14:paraId="3CF2D20F" w14:textId="77777777" w:rsidR="00533B0F" w:rsidRPr="004D53DE" w:rsidRDefault="00533B0F" w:rsidP="004D53DE">
      <w:pPr>
        <w:rPr>
          <w:sz w:val="16"/>
          <w:szCs w:val="16"/>
        </w:rPr>
      </w:pPr>
    </w:p>
    <w:p w14:paraId="4A7164F0" w14:textId="77777777" w:rsidR="00311887" w:rsidRDefault="00001DD5" w:rsidP="00001DD5">
      <w:pPr>
        <w:jc w:val="center"/>
      </w:pPr>
      <w:r>
        <w:rPr>
          <w:noProof/>
          <w:lang w:eastAsia="sv-SE"/>
        </w:rPr>
        <w:drawing>
          <wp:inline distT="0" distB="0" distL="0" distR="0" wp14:anchorId="3F5C485D" wp14:editId="5250F5D2">
            <wp:extent cx="5143500" cy="2899211"/>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1619FC-7071-4122-B8D6-96503DAC5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3A1CB5" w14:textId="77777777" w:rsidR="00B6159C" w:rsidRDefault="00E65D70" w:rsidP="00083A9A">
      <w:r>
        <w:rPr>
          <w:sz w:val="16"/>
          <w:szCs w:val="16"/>
        </w:rPr>
        <w:t xml:space="preserve">              </w:t>
      </w:r>
      <w:r w:rsidR="00B6159C" w:rsidRPr="00B6159C">
        <w:rPr>
          <w:sz w:val="16"/>
          <w:szCs w:val="16"/>
        </w:rPr>
        <w:t xml:space="preserve">Figur: </w:t>
      </w:r>
      <w:r w:rsidR="00B6159C">
        <w:rPr>
          <w:sz w:val="16"/>
          <w:szCs w:val="16"/>
        </w:rPr>
        <w:t>Fördelning HD, PD eller transplanterade i varje åldersklass</w:t>
      </w:r>
      <w:r>
        <w:rPr>
          <w:sz w:val="16"/>
          <w:szCs w:val="16"/>
        </w:rPr>
        <w:t xml:space="preserve">. </w:t>
      </w:r>
    </w:p>
    <w:p w14:paraId="7F6C3D91" w14:textId="77777777" w:rsidR="00E65D70" w:rsidRDefault="00E65D70" w:rsidP="00083A9A">
      <w:r>
        <w:t xml:space="preserve">För att kunna kvantifiera hur patientfördelningen påverkar de ekonomiska vinsterna </w:t>
      </w:r>
      <w:r w:rsidR="00D90CEE">
        <w:t xml:space="preserve">måste vi undersöka dels sysselsättningsgraden av individer i den olika åldersklasserna, dels hur dessa individers lönebild ser ut. Data finns tillgänglig från SCB (Statistiska Centralbyrån) för 2015 och vi antar att det inte har skett stora ändringar i statistiken år 2016. </w:t>
      </w:r>
    </w:p>
    <w:p w14:paraId="2461F7D6" w14:textId="1E8E200D" w:rsidR="00533B0F" w:rsidRDefault="00533B0F" w:rsidP="00083A9A"/>
    <w:p w14:paraId="4D7064EB" w14:textId="6BDC6F2C" w:rsidR="00B23A7E" w:rsidRDefault="00B23A7E" w:rsidP="00083A9A"/>
    <w:p w14:paraId="02A1E918" w14:textId="1877E5CF" w:rsidR="00B23A7E" w:rsidRDefault="00B23A7E" w:rsidP="00083A9A"/>
    <w:p w14:paraId="4AB7F07F" w14:textId="77777777" w:rsidR="00B23A7E" w:rsidRDefault="00B23A7E" w:rsidP="00083A9A"/>
    <w:p w14:paraId="5D6D9665" w14:textId="77777777" w:rsidR="00533B0F" w:rsidRDefault="00533B0F" w:rsidP="00083A9A"/>
    <w:tbl>
      <w:tblPr>
        <w:tblW w:w="9023" w:type="dxa"/>
        <w:tblCellMar>
          <w:left w:w="70" w:type="dxa"/>
          <w:right w:w="70" w:type="dxa"/>
        </w:tblCellMar>
        <w:tblLook w:val="04A0" w:firstRow="1" w:lastRow="0" w:firstColumn="1" w:lastColumn="0" w:noHBand="0" w:noVBand="1"/>
      </w:tblPr>
      <w:tblGrid>
        <w:gridCol w:w="980"/>
        <w:gridCol w:w="1319"/>
        <w:gridCol w:w="1604"/>
        <w:gridCol w:w="1020"/>
        <w:gridCol w:w="1040"/>
        <w:gridCol w:w="1550"/>
        <w:gridCol w:w="1510"/>
      </w:tblGrid>
      <w:tr w:rsidR="002E5967" w:rsidRPr="002E5967" w14:paraId="1E6BD41A" w14:textId="77777777" w:rsidTr="00A37AFC">
        <w:trPr>
          <w:trHeight w:val="488"/>
        </w:trPr>
        <w:tc>
          <w:tcPr>
            <w:tcW w:w="980" w:type="dxa"/>
            <w:tcBorders>
              <w:top w:val="single" w:sz="4" w:space="0" w:color="auto"/>
              <w:left w:val="nil"/>
              <w:bottom w:val="single" w:sz="8" w:space="0" w:color="auto"/>
              <w:right w:val="nil"/>
            </w:tcBorders>
            <w:shd w:val="clear" w:color="000000" w:fill="FFFFFF"/>
            <w:vAlign w:val="bottom"/>
            <w:hideMark/>
          </w:tcPr>
          <w:p w14:paraId="502F8FBC"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Åldersklass</w:t>
            </w:r>
          </w:p>
        </w:tc>
        <w:tc>
          <w:tcPr>
            <w:tcW w:w="1319" w:type="dxa"/>
            <w:tcBorders>
              <w:top w:val="single" w:sz="4" w:space="0" w:color="auto"/>
              <w:left w:val="nil"/>
              <w:bottom w:val="single" w:sz="8" w:space="0" w:color="auto"/>
              <w:right w:val="nil"/>
            </w:tcBorders>
            <w:shd w:val="clear" w:color="000000" w:fill="FFFFFF"/>
            <w:vAlign w:val="bottom"/>
            <w:hideMark/>
          </w:tcPr>
          <w:p w14:paraId="4BAA007A"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 xml:space="preserve">Medianinkomst </w:t>
            </w:r>
          </w:p>
        </w:tc>
        <w:tc>
          <w:tcPr>
            <w:tcW w:w="1604" w:type="dxa"/>
            <w:tcBorders>
              <w:top w:val="single" w:sz="4" w:space="0" w:color="auto"/>
              <w:left w:val="nil"/>
              <w:bottom w:val="single" w:sz="8" w:space="0" w:color="auto"/>
              <w:right w:val="nil"/>
            </w:tcBorders>
            <w:shd w:val="clear" w:color="000000" w:fill="FFFFFF"/>
            <w:vAlign w:val="bottom"/>
            <w:hideMark/>
          </w:tcPr>
          <w:p w14:paraId="53E138B6"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Sysselsättningsgrad</w:t>
            </w:r>
          </w:p>
        </w:tc>
        <w:tc>
          <w:tcPr>
            <w:tcW w:w="1020" w:type="dxa"/>
            <w:tcBorders>
              <w:top w:val="single" w:sz="4" w:space="0" w:color="auto"/>
              <w:left w:val="nil"/>
              <w:bottom w:val="single" w:sz="8" w:space="0" w:color="auto"/>
              <w:right w:val="nil"/>
            </w:tcBorders>
            <w:shd w:val="clear" w:color="000000" w:fill="FFFFFF"/>
            <w:vAlign w:val="bottom"/>
            <w:hideMark/>
          </w:tcPr>
          <w:p w14:paraId="024989A5"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Förväntad inkomst PD</w:t>
            </w:r>
          </w:p>
        </w:tc>
        <w:tc>
          <w:tcPr>
            <w:tcW w:w="1040" w:type="dxa"/>
            <w:tcBorders>
              <w:top w:val="single" w:sz="4" w:space="0" w:color="auto"/>
              <w:left w:val="nil"/>
              <w:bottom w:val="single" w:sz="8" w:space="0" w:color="auto"/>
              <w:right w:val="nil"/>
            </w:tcBorders>
            <w:shd w:val="clear" w:color="000000" w:fill="FFFFFF"/>
            <w:vAlign w:val="bottom"/>
            <w:hideMark/>
          </w:tcPr>
          <w:p w14:paraId="5A322527"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Förväntad inkomst TX</w:t>
            </w:r>
          </w:p>
        </w:tc>
        <w:tc>
          <w:tcPr>
            <w:tcW w:w="1550" w:type="dxa"/>
            <w:tcBorders>
              <w:top w:val="single" w:sz="4" w:space="0" w:color="auto"/>
              <w:left w:val="nil"/>
              <w:bottom w:val="single" w:sz="8" w:space="0" w:color="auto"/>
              <w:right w:val="nil"/>
            </w:tcBorders>
            <w:shd w:val="clear" w:color="000000" w:fill="FFFFFF"/>
            <w:vAlign w:val="bottom"/>
            <w:hideMark/>
          </w:tcPr>
          <w:p w14:paraId="50C83B6F"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Förväntade skatteintäkter PD</w:t>
            </w:r>
          </w:p>
        </w:tc>
        <w:tc>
          <w:tcPr>
            <w:tcW w:w="1510" w:type="dxa"/>
            <w:tcBorders>
              <w:top w:val="single" w:sz="4" w:space="0" w:color="auto"/>
              <w:left w:val="nil"/>
              <w:bottom w:val="single" w:sz="8" w:space="0" w:color="auto"/>
              <w:right w:val="nil"/>
            </w:tcBorders>
            <w:shd w:val="clear" w:color="000000" w:fill="FFFFFF"/>
            <w:vAlign w:val="bottom"/>
            <w:hideMark/>
          </w:tcPr>
          <w:p w14:paraId="2C9D023E"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Förväntade skatteintäkter TX</w:t>
            </w:r>
          </w:p>
        </w:tc>
      </w:tr>
      <w:tr w:rsidR="002E5967" w:rsidRPr="002E5967" w14:paraId="1E9092E9" w14:textId="77777777" w:rsidTr="00A37AFC">
        <w:trPr>
          <w:trHeight w:val="285"/>
        </w:trPr>
        <w:tc>
          <w:tcPr>
            <w:tcW w:w="980" w:type="dxa"/>
            <w:tcBorders>
              <w:top w:val="nil"/>
              <w:left w:val="nil"/>
              <w:bottom w:val="nil"/>
              <w:right w:val="nil"/>
            </w:tcBorders>
            <w:shd w:val="clear" w:color="000000" w:fill="FFFFFF"/>
            <w:noWrap/>
            <w:vAlign w:val="bottom"/>
            <w:hideMark/>
          </w:tcPr>
          <w:p w14:paraId="29B4992D"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16–24 år</w:t>
            </w:r>
          </w:p>
        </w:tc>
        <w:tc>
          <w:tcPr>
            <w:tcW w:w="1319" w:type="dxa"/>
            <w:tcBorders>
              <w:top w:val="nil"/>
              <w:left w:val="nil"/>
              <w:bottom w:val="nil"/>
              <w:right w:val="nil"/>
            </w:tcBorders>
            <w:shd w:val="clear" w:color="000000" w:fill="FFFFFF"/>
            <w:noWrap/>
            <w:vAlign w:val="bottom"/>
            <w:hideMark/>
          </w:tcPr>
          <w:p w14:paraId="106521E0"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78 500</w:t>
            </w:r>
          </w:p>
        </w:tc>
        <w:tc>
          <w:tcPr>
            <w:tcW w:w="1604" w:type="dxa"/>
            <w:tcBorders>
              <w:top w:val="nil"/>
              <w:left w:val="nil"/>
              <w:bottom w:val="nil"/>
              <w:right w:val="nil"/>
            </w:tcBorders>
            <w:shd w:val="clear" w:color="000000" w:fill="FFFFFF"/>
            <w:noWrap/>
            <w:vAlign w:val="bottom"/>
            <w:hideMark/>
          </w:tcPr>
          <w:p w14:paraId="12D14FA4"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43,7%</w:t>
            </w:r>
          </w:p>
        </w:tc>
        <w:tc>
          <w:tcPr>
            <w:tcW w:w="1020" w:type="dxa"/>
            <w:tcBorders>
              <w:top w:val="nil"/>
              <w:left w:val="nil"/>
              <w:bottom w:val="nil"/>
              <w:right w:val="nil"/>
            </w:tcBorders>
            <w:shd w:val="clear" w:color="000000" w:fill="FFFFFF"/>
            <w:noWrap/>
            <w:vAlign w:val="bottom"/>
            <w:hideMark/>
          </w:tcPr>
          <w:p w14:paraId="02E90213"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29 438</w:t>
            </w:r>
          </w:p>
        </w:tc>
        <w:tc>
          <w:tcPr>
            <w:tcW w:w="1040" w:type="dxa"/>
            <w:tcBorders>
              <w:top w:val="nil"/>
              <w:left w:val="nil"/>
              <w:bottom w:val="nil"/>
              <w:right w:val="nil"/>
            </w:tcBorders>
            <w:shd w:val="clear" w:color="000000" w:fill="FFFFFF"/>
            <w:noWrap/>
            <w:vAlign w:val="bottom"/>
            <w:hideMark/>
          </w:tcPr>
          <w:p w14:paraId="40014EE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58 875</w:t>
            </w:r>
          </w:p>
        </w:tc>
        <w:tc>
          <w:tcPr>
            <w:tcW w:w="1550" w:type="dxa"/>
            <w:tcBorders>
              <w:top w:val="nil"/>
              <w:left w:val="nil"/>
              <w:bottom w:val="nil"/>
              <w:right w:val="nil"/>
            </w:tcBorders>
            <w:shd w:val="clear" w:color="000000" w:fill="FFFFFF"/>
            <w:noWrap/>
            <w:vAlign w:val="bottom"/>
            <w:hideMark/>
          </w:tcPr>
          <w:p w14:paraId="0D3D7A2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7 948</w:t>
            </w:r>
          </w:p>
        </w:tc>
        <w:tc>
          <w:tcPr>
            <w:tcW w:w="1510" w:type="dxa"/>
            <w:tcBorders>
              <w:top w:val="nil"/>
              <w:left w:val="nil"/>
              <w:bottom w:val="nil"/>
              <w:right w:val="nil"/>
            </w:tcBorders>
            <w:shd w:val="clear" w:color="000000" w:fill="FFFFFF"/>
            <w:noWrap/>
            <w:vAlign w:val="bottom"/>
            <w:hideMark/>
          </w:tcPr>
          <w:p w14:paraId="0A84AA93"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15 896</w:t>
            </w:r>
          </w:p>
        </w:tc>
      </w:tr>
      <w:tr w:rsidR="002E5967" w:rsidRPr="002E5967" w14:paraId="3432EE5D" w14:textId="77777777" w:rsidTr="00A37AFC">
        <w:trPr>
          <w:trHeight w:val="285"/>
        </w:trPr>
        <w:tc>
          <w:tcPr>
            <w:tcW w:w="980" w:type="dxa"/>
            <w:tcBorders>
              <w:top w:val="nil"/>
              <w:left w:val="nil"/>
              <w:bottom w:val="nil"/>
              <w:right w:val="nil"/>
            </w:tcBorders>
            <w:shd w:val="clear" w:color="000000" w:fill="FFFFFF"/>
            <w:noWrap/>
            <w:vAlign w:val="bottom"/>
            <w:hideMark/>
          </w:tcPr>
          <w:p w14:paraId="2B60AF64"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25–34 år</w:t>
            </w:r>
          </w:p>
        </w:tc>
        <w:tc>
          <w:tcPr>
            <w:tcW w:w="1319" w:type="dxa"/>
            <w:tcBorders>
              <w:top w:val="nil"/>
              <w:left w:val="nil"/>
              <w:bottom w:val="nil"/>
              <w:right w:val="nil"/>
            </w:tcBorders>
            <w:shd w:val="clear" w:color="000000" w:fill="FFFFFF"/>
            <w:noWrap/>
            <w:vAlign w:val="bottom"/>
            <w:hideMark/>
          </w:tcPr>
          <w:p w14:paraId="37355264"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263 850</w:t>
            </w:r>
          </w:p>
        </w:tc>
        <w:tc>
          <w:tcPr>
            <w:tcW w:w="1604" w:type="dxa"/>
            <w:tcBorders>
              <w:top w:val="nil"/>
              <w:left w:val="nil"/>
              <w:bottom w:val="nil"/>
              <w:right w:val="nil"/>
            </w:tcBorders>
            <w:shd w:val="clear" w:color="000000" w:fill="FFFFFF"/>
            <w:noWrap/>
            <w:vAlign w:val="bottom"/>
            <w:hideMark/>
          </w:tcPr>
          <w:p w14:paraId="13A68F9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84,9%</w:t>
            </w:r>
          </w:p>
        </w:tc>
        <w:tc>
          <w:tcPr>
            <w:tcW w:w="1020" w:type="dxa"/>
            <w:tcBorders>
              <w:top w:val="nil"/>
              <w:left w:val="nil"/>
              <w:bottom w:val="nil"/>
              <w:right w:val="nil"/>
            </w:tcBorders>
            <w:shd w:val="clear" w:color="000000" w:fill="FFFFFF"/>
            <w:noWrap/>
            <w:vAlign w:val="bottom"/>
            <w:hideMark/>
          </w:tcPr>
          <w:p w14:paraId="77E01FDF"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98 944</w:t>
            </w:r>
          </w:p>
        </w:tc>
        <w:tc>
          <w:tcPr>
            <w:tcW w:w="1040" w:type="dxa"/>
            <w:tcBorders>
              <w:top w:val="nil"/>
              <w:left w:val="nil"/>
              <w:bottom w:val="nil"/>
              <w:right w:val="nil"/>
            </w:tcBorders>
            <w:shd w:val="clear" w:color="000000" w:fill="FFFFFF"/>
            <w:noWrap/>
            <w:vAlign w:val="bottom"/>
            <w:hideMark/>
          </w:tcPr>
          <w:p w14:paraId="6C33A3C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197 888</w:t>
            </w:r>
          </w:p>
        </w:tc>
        <w:tc>
          <w:tcPr>
            <w:tcW w:w="1550" w:type="dxa"/>
            <w:tcBorders>
              <w:top w:val="nil"/>
              <w:left w:val="nil"/>
              <w:bottom w:val="nil"/>
              <w:right w:val="nil"/>
            </w:tcBorders>
            <w:shd w:val="clear" w:color="000000" w:fill="FFFFFF"/>
            <w:noWrap/>
            <w:vAlign w:val="bottom"/>
            <w:hideMark/>
          </w:tcPr>
          <w:p w14:paraId="141FB7A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29 683</w:t>
            </w:r>
          </w:p>
        </w:tc>
        <w:tc>
          <w:tcPr>
            <w:tcW w:w="1510" w:type="dxa"/>
            <w:tcBorders>
              <w:top w:val="nil"/>
              <w:left w:val="nil"/>
              <w:bottom w:val="nil"/>
              <w:right w:val="nil"/>
            </w:tcBorders>
            <w:shd w:val="clear" w:color="000000" w:fill="FFFFFF"/>
            <w:noWrap/>
            <w:vAlign w:val="bottom"/>
            <w:hideMark/>
          </w:tcPr>
          <w:p w14:paraId="1FD47255"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59 366</w:t>
            </w:r>
          </w:p>
        </w:tc>
      </w:tr>
      <w:tr w:rsidR="002E5967" w:rsidRPr="002E5967" w14:paraId="01C98BAE" w14:textId="77777777" w:rsidTr="00A37AFC">
        <w:trPr>
          <w:trHeight w:val="285"/>
        </w:trPr>
        <w:tc>
          <w:tcPr>
            <w:tcW w:w="980" w:type="dxa"/>
            <w:tcBorders>
              <w:top w:val="nil"/>
              <w:left w:val="nil"/>
              <w:bottom w:val="nil"/>
              <w:right w:val="nil"/>
            </w:tcBorders>
            <w:shd w:val="clear" w:color="000000" w:fill="FFFFFF"/>
            <w:noWrap/>
            <w:vAlign w:val="bottom"/>
            <w:hideMark/>
          </w:tcPr>
          <w:p w14:paraId="20EF2434"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35–44 år</w:t>
            </w:r>
          </w:p>
        </w:tc>
        <w:tc>
          <w:tcPr>
            <w:tcW w:w="1319" w:type="dxa"/>
            <w:tcBorders>
              <w:top w:val="nil"/>
              <w:left w:val="nil"/>
              <w:bottom w:val="nil"/>
              <w:right w:val="nil"/>
            </w:tcBorders>
            <w:shd w:val="clear" w:color="000000" w:fill="FFFFFF"/>
            <w:noWrap/>
            <w:vAlign w:val="bottom"/>
            <w:hideMark/>
          </w:tcPr>
          <w:p w14:paraId="114C9E2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324 550</w:t>
            </w:r>
          </w:p>
        </w:tc>
        <w:tc>
          <w:tcPr>
            <w:tcW w:w="1604" w:type="dxa"/>
            <w:tcBorders>
              <w:top w:val="nil"/>
              <w:left w:val="nil"/>
              <w:bottom w:val="nil"/>
              <w:right w:val="nil"/>
            </w:tcBorders>
            <w:shd w:val="clear" w:color="000000" w:fill="FFFFFF"/>
            <w:noWrap/>
            <w:vAlign w:val="bottom"/>
            <w:hideMark/>
          </w:tcPr>
          <w:p w14:paraId="435B3D84"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88,1%</w:t>
            </w:r>
          </w:p>
        </w:tc>
        <w:tc>
          <w:tcPr>
            <w:tcW w:w="1020" w:type="dxa"/>
            <w:tcBorders>
              <w:top w:val="nil"/>
              <w:left w:val="nil"/>
              <w:bottom w:val="nil"/>
              <w:right w:val="nil"/>
            </w:tcBorders>
            <w:shd w:val="clear" w:color="000000" w:fill="FFFFFF"/>
            <w:noWrap/>
            <w:vAlign w:val="bottom"/>
            <w:hideMark/>
          </w:tcPr>
          <w:p w14:paraId="1E53CF84"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121 706</w:t>
            </w:r>
          </w:p>
        </w:tc>
        <w:tc>
          <w:tcPr>
            <w:tcW w:w="1040" w:type="dxa"/>
            <w:tcBorders>
              <w:top w:val="nil"/>
              <w:left w:val="nil"/>
              <w:bottom w:val="nil"/>
              <w:right w:val="nil"/>
            </w:tcBorders>
            <w:shd w:val="clear" w:color="000000" w:fill="FFFFFF"/>
            <w:noWrap/>
            <w:vAlign w:val="bottom"/>
            <w:hideMark/>
          </w:tcPr>
          <w:p w14:paraId="104CB746"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243 413</w:t>
            </w:r>
          </w:p>
        </w:tc>
        <w:tc>
          <w:tcPr>
            <w:tcW w:w="1550" w:type="dxa"/>
            <w:tcBorders>
              <w:top w:val="nil"/>
              <w:left w:val="nil"/>
              <w:bottom w:val="nil"/>
              <w:right w:val="nil"/>
            </w:tcBorders>
            <w:shd w:val="clear" w:color="000000" w:fill="FFFFFF"/>
            <w:noWrap/>
            <w:vAlign w:val="bottom"/>
            <w:hideMark/>
          </w:tcPr>
          <w:p w14:paraId="6A1FB45F"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36 512</w:t>
            </w:r>
          </w:p>
        </w:tc>
        <w:tc>
          <w:tcPr>
            <w:tcW w:w="1510" w:type="dxa"/>
            <w:tcBorders>
              <w:top w:val="nil"/>
              <w:left w:val="nil"/>
              <w:bottom w:val="nil"/>
              <w:right w:val="nil"/>
            </w:tcBorders>
            <w:shd w:val="clear" w:color="000000" w:fill="FFFFFF"/>
            <w:noWrap/>
            <w:vAlign w:val="bottom"/>
            <w:hideMark/>
          </w:tcPr>
          <w:p w14:paraId="5D578656"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73 024</w:t>
            </w:r>
          </w:p>
        </w:tc>
      </w:tr>
      <w:tr w:rsidR="002E5967" w:rsidRPr="002E5967" w14:paraId="7DDA8B1C" w14:textId="77777777" w:rsidTr="00A37AFC">
        <w:trPr>
          <w:trHeight w:val="285"/>
        </w:trPr>
        <w:tc>
          <w:tcPr>
            <w:tcW w:w="980" w:type="dxa"/>
            <w:tcBorders>
              <w:top w:val="nil"/>
              <w:left w:val="nil"/>
              <w:bottom w:val="nil"/>
              <w:right w:val="nil"/>
            </w:tcBorders>
            <w:shd w:val="clear" w:color="000000" w:fill="FFFFFF"/>
            <w:noWrap/>
            <w:vAlign w:val="bottom"/>
            <w:hideMark/>
          </w:tcPr>
          <w:p w14:paraId="2C003E0C"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45–54 år</w:t>
            </w:r>
          </w:p>
        </w:tc>
        <w:tc>
          <w:tcPr>
            <w:tcW w:w="1319" w:type="dxa"/>
            <w:tcBorders>
              <w:top w:val="nil"/>
              <w:left w:val="nil"/>
              <w:bottom w:val="nil"/>
              <w:right w:val="nil"/>
            </w:tcBorders>
            <w:shd w:val="clear" w:color="000000" w:fill="FFFFFF"/>
            <w:noWrap/>
            <w:vAlign w:val="bottom"/>
            <w:hideMark/>
          </w:tcPr>
          <w:p w14:paraId="20590FCE"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335 400</w:t>
            </w:r>
          </w:p>
        </w:tc>
        <w:tc>
          <w:tcPr>
            <w:tcW w:w="1604" w:type="dxa"/>
            <w:tcBorders>
              <w:top w:val="nil"/>
              <w:left w:val="nil"/>
              <w:bottom w:val="nil"/>
              <w:right w:val="nil"/>
            </w:tcBorders>
            <w:shd w:val="clear" w:color="000000" w:fill="FFFFFF"/>
            <w:noWrap/>
            <w:vAlign w:val="bottom"/>
            <w:hideMark/>
          </w:tcPr>
          <w:p w14:paraId="13C01A38"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87,1%</w:t>
            </w:r>
          </w:p>
        </w:tc>
        <w:tc>
          <w:tcPr>
            <w:tcW w:w="1020" w:type="dxa"/>
            <w:tcBorders>
              <w:top w:val="nil"/>
              <w:left w:val="nil"/>
              <w:bottom w:val="nil"/>
              <w:right w:val="nil"/>
            </w:tcBorders>
            <w:shd w:val="clear" w:color="000000" w:fill="FFFFFF"/>
            <w:noWrap/>
            <w:vAlign w:val="bottom"/>
            <w:hideMark/>
          </w:tcPr>
          <w:p w14:paraId="4BBA9BA7"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125 775</w:t>
            </w:r>
          </w:p>
        </w:tc>
        <w:tc>
          <w:tcPr>
            <w:tcW w:w="1040" w:type="dxa"/>
            <w:tcBorders>
              <w:top w:val="nil"/>
              <w:left w:val="nil"/>
              <w:bottom w:val="nil"/>
              <w:right w:val="nil"/>
            </w:tcBorders>
            <w:shd w:val="clear" w:color="000000" w:fill="FFFFFF"/>
            <w:noWrap/>
            <w:vAlign w:val="bottom"/>
            <w:hideMark/>
          </w:tcPr>
          <w:p w14:paraId="50F2302E"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251 550</w:t>
            </w:r>
          </w:p>
        </w:tc>
        <w:tc>
          <w:tcPr>
            <w:tcW w:w="1550" w:type="dxa"/>
            <w:tcBorders>
              <w:top w:val="nil"/>
              <w:left w:val="nil"/>
              <w:bottom w:val="nil"/>
              <w:right w:val="nil"/>
            </w:tcBorders>
            <w:shd w:val="clear" w:color="000000" w:fill="FFFFFF"/>
            <w:noWrap/>
            <w:vAlign w:val="bottom"/>
            <w:hideMark/>
          </w:tcPr>
          <w:p w14:paraId="762F3EBB"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37 733</w:t>
            </w:r>
          </w:p>
        </w:tc>
        <w:tc>
          <w:tcPr>
            <w:tcW w:w="1510" w:type="dxa"/>
            <w:tcBorders>
              <w:top w:val="nil"/>
              <w:left w:val="nil"/>
              <w:bottom w:val="nil"/>
              <w:right w:val="nil"/>
            </w:tcBorders>
            <w:shd w:val="clear" w:color="000000" w:fill="FFFFFF"/>
            <w:noWrap/>
            <w:vAlign w:val="bottom"/>
            <w:hideMark/>
          </w:tcPr>
          <w:p w14:paraId="0D868CF7"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75 465</w:t>
            </w:r>
          </w:p>
        </w:tc>
      </w:tr>
      <w:tr w:rsidR="002E5967" w:rsidRPr="002E5967" w14:paraId="4B67EF1A" w14:textId="77777777" w:rsidTr="00A37AFC">
        <w:trPr>
          <w:trHeight w:val="285"/>
        </w:trPr>
        <w:tc>
          <w:tcPr>
            <w:tcW w:w="980" w:type="dxa"/>
            <w:tcBorders>
              <w:top w:val="nil"/>
              <w:left w:val="nil"/>
              <w:bottom w:val="nil"/>
              <w:right w:val="nil"/>
            </w:tcBorders>
            <w:shd w:val="clear" w:color="000000" w:fill="FFFFFF"/>
            <w:noWrap/>
            <w:vAlign w:val="bottom"/>
            <w:hideMark/>
          </w:tcPr>
          <w:p w14:paraId="4417B7E5"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55–64 år</w:t>
            </w:r>
          </w:p>
        </w:tc>
        <w:tc>
          <w:tcPr>
            <w:tcW w:w="1319" w:type="dxa"/>
            <w:tcBorders>
              <w:top w:val="nil"/>
              <w:left w:val="nil"/>
              <w:bottom w:val="nil"/>
              <w:right w:val="nil"/>
            </w:tcBorders>
            <w:shd w:val="clear" w:color="000000" w:fill="FFFFFF"/>
            <w:noWrap/>
            <w:vAlign w:val="bottom"/>
            <w:hideMark/>
          </w:tcPr>
          <w:p w14:paraId="5CF6967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315 700</w:t>
            </w:r>
          </w:p>
        </w:tc>
        <w:tc>
          <w:tcPr>
            <w:tcW w:w="1604" w:type="dxa"/>
            <w:tcBorders>
              <w:top w:val="nil"/>
              <w:left w:val="nil"/>
              <w:bottom w:val="nil"/>
              <w:right w:val="nil"/>
            </w:tcBorders>
            <w:shd w:val="clear" w:color="000000" w:fill="FFFFFF"/>
            <w:noWrap/>
            <w:vAlign w:val="bottom"/>
            <w:hideMark/>
          </w:tcPr>
          <w:p w14:paraId="7AF66D79"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74,6%</w:t>
            </w:r>
          </w:p>
        </w:tc>
        <w:tc>
          <w:tcPr>
            <w:tcW w:w="1020" w:type="dxa"/>
            <w:tcBorders>
              <w:top w:val="nil"/>
              <w:left w:val="nil"/>
              <w:bottom w:val="nil"/>
              <w:right w:val="nil"/>
            </w:tcBorders>
            <w:shd w:val="clear" w:color="000000" w:fill="FFFFFF"/>
            <w:noWrap/>
            <w:vAlign w:val="bottom"/>
            <w:hideMark/>
          </w:tcPr>
          <w:p w14:paraId="5AD2C7E5"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118 388</w:t>
            </w:r>
          </w:p>
        </w:tc>
        <w:tc>
          <w:tcPr>
            <w:tcW w:w="1040" w:type="dxa"/>
            <w:tcBorders>
              <w:top w:val="nil"/>
              <w:left w:val="nil"/>
              <w:bottom w:val="nil"/>
              <w:right w:val="nil"/>
            </w:tcBorders>
            <w:shd w:val="clear" w:color="000000" w:fill="FFFFFF"/>
            <w:noWrap/>
            <w:vAlign w:val="bottom"/>
            <w:hideMark/>
          </w:tcPr>
          <w:p w14:paraId="634B8FA7"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236 775</w:t>
            </w:r>
          </w:p>
        </w:tc>
        <w:tc>
          <w:tcPr>
            <w:tcW w:w="1550" w:type="dxa"/>
            <w:tcBorders>
              <w:top w:val="nil"/>
              <w:left w:val="nil"/>
              <w:bottom w:val="nil"/>
              <w:right w:val="nil"/>
            </w:tcBorders>
            <w:shd w:val="clear" w:color="000000" w:fill="FFFFFF"/>
            <w:noWrap/>
            <w:vAlign w:val="bottom"/>
            <w:hideMark/>
          </w:tcPr>
          <w:p w14:paraId="64D2F659"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35 516</w:t>
            </w:r>
          </w:p>
        </w:tc>
        <w:tc>
          <w:tcPr>
            <w:tcW w:w="1510" w:type="dxa"/>
            <w:tcBorders>
              <w:top w:val="nil"/>
              <w:left w:val="nil"/>
              <w:bottom w:val="nil"/>
              <w:right w:val="nil"/>
            </w:tcBorders>
            <w:shd w:val="clear" w:color="000000" w:fill="FFFFFF"/>
            <w:noWrap/>
            <w:vAlign w:val="bottom"/>
            <w:hideMark/>
          </w:tcPr>
          <w:p w14:paraId="0C4197C4"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71 033</w:t>
            </w:r>
          </w:p>
        </w:tc>
      </w:tr>
      <w:tr w:rsidR="002E5967" w:rsidRPr="002E5967" w14:paraId="0D551D04" w14:textId="77777777" w:rsidTr="00A37AFC">
        <w:trPr>
          <w:trHeight w:val="285"/>
        </w:trPr>
        <w:tc>
          <w:tcPr>
            <w:tcW w:w="980" w:type="dxa"/>
            <w:tcBorders>
              <w:top w:val="nil"/>
              <w:left w:val="nil"/>
              <w:bottom w:val="nil"/>
              <w:right w:val="nil"/>
            </w:tcBorders>
            <w:shd w:val="clear" w:color="000000" w:fill="FFFFFF"/>
            <w:noWrap/>
            <w:vAlign w:val="bottom"/>
            <w:hideMark/>
          </w:tcPr>
          <w:p w14:paraId="6D4C9B6C"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65–74 år</w:t>
            </w:r>
          </w:p>
        </w:tc>
        <w:tc>
          <w:tcPr>
            <w:tcW w:w="1319" w:type="dxa"/>
            <w:tcBorders>
              <w:top w:val="nil"/>
              <w:left w:val="nil"/>
              <w:bottom w:val="nil"/>
              <w:right w:val="nil"/>
            </w:tcBorders>
            <w:shd w:val="clear" w:color="000000" w:fill="FFFFFF"/>
            <w:noWrap/>
            <w:vAlign w:val="bottom"/>
            <w:hideMark/>
          </w:tcPr>
          <w:p w14:paraId="2EF37C6A"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213 450</w:t>
            </w:r>
          </w:p>
        </w:tc>
        <w:tc>
          <w:tcPr>
            <w:tcW w:w="1604" w:type="dxa"/>
            <w:tcBorders>
              <w:top w:val="nil"/>
              <w:left w:val="nil"/>
              <w:bottom w:val="nil"/>
              <w:right w:val="nil"/>
            </w:tcBorders>
            <w:shd w:val="clear" w:color="000000" w:fill="FFFFFF"/>
            <w:noWrap/>
            <w:vAlign w:val="bottom"/>
            <w:hideMark/>
          </w:tcPr>
          <w:p w14:paraId="4DF8C3DA"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16,4%</w:t>
            </w:r>
          </w:p>
        </w:tc>
        <w:tc>
          <w:tcPr>
            <w:tcW w:w="1020" w:type="dxa"/>
            <w:tcBorders>
              <w:top w:val="nil"/>
              <w:left w:val="nil"/>
              <w:bottom w:val="nil"/>
              <w:right w:val="nil"/>
            </w:tcBorders>
            <w:shd w:val="clear" w:color="000000" w:fill="FFFFFF"/>
            <w:noWrap/>
            <w:vAlign w:val="bottom"/>
            <w:hideMark/>
          </w:tcPr>
          <w:p w14:paraId="5B7E57C3"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80 044</w:t>
            </w:r>
          </w:p>
        </w:tc>
        <w:tc>
          <w:tcPr>
            <w:tcW w:w="1040" w:type="dxa"/>
            <w:tcBorders>
              <w:top w:val="nil"/>
              <w:left w:val="nil"/>
              <w:bottom w:val="nil"/>
              <w:right w:val="nil"/>
            </w:tcBorders>
            <w:shd w:val="clear" w:color="000000" w:fill="FFFFFF"/>
            <w:noWrap/>
            <w:vAlign w:val="bottom"/>
            <w:hideMark/>
          </w:tcPr>
          <w:p w14:paraId="18F9BE51"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160 088</w:t>
            </w:r>
          </w:p>
        </w:tc>
        <w:tc>
          <w:tcPr>
            <w:tcW w:w="1550" w:type="dxa"/>
            <w:tcBorders>
              <w:top w:val="nil"/>
              <w:left w:val="nil"/>
              <w:bottom w:val="nil"/>
              <w:right w:val="nil"/>
            </w:tcBorders>
            <w:shd w:val="clear" w:color="000000" w:fill="FFFFFF"/>
            <w:noWrap/>
            <w:vAlign w:val="bottom"/>
            <w:hideMark/>
          </w:tcPr>
          <w:p w14:paraId="4006E12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24 013</w:t>
            </w:r>
          </w:p>
        </w:tc>
        <w:tc>
          <w:tcPr>
            <w:tcW w:w="1510" w:type="dxa"/>
            <w:tcBorders>
              <w:top w:val="nil"/>
              <w:left w:val="nil"/>
              <w:bottom w:val="nil"/>
              <w:right w:val="nil"/>
            </w:tcBorders>
            <w:shd w:val="clear" w:color="000000" w:fill="FFFFFF"/>
            <w:noWrap/>
            <w:vAlign w:val="bottom"/>
            <w:hideMark/>
          </w:tcPr>
          <w:p w14:paraId="62F93437"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48 026</w:t>
            </w:r>
          </w:p>
        </w:tc>
      </w:tr>
      <w:tr w:rsidR="002E5967" w:rsidRPr="002E5967" w14:paraId="27B9FBEF" w14:textId="77777777" w:rsidTr="00A37AFC">
        <w:trPr>
          <w:trHeight w:val="285"/>
        </w:trPr>
        <w:tc>
          <w:tcPr>
            <w:tcW w:w="980" w:type="dxa"/>
            <w:tcBorders>
              <w:top w:val="nil"/>
              <w:left w:val="nil"/>
              <w:bottom w:val="nil"/>
              <w:right w:val="nil"/>
            </w:tcBorders>
            <w:shd w:val="clear" w:color="000000" w:fill="FFFFFF"/>
            <w:noWrap/>
            <w:vAlign w:val="bottom"/>
            <w:hideMark/>
          </w:tcPr>
          <w:p w14:paraId="1546DFAC"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75–84 år</w:t>
            </w:r>
          </w:p>
        </w:tc>
        <w:tc>
          <w:tcPr>
            <w:tcW w:w="1319" w:type="dxa"/>
            <w:tcBorders>
              <w:top w:val="nil"/>
              <w:left w:val="nil"/>
              <w:bottom w:val="nil"/>
              <w:right w:val="nil"/>
            </w:tcBorders>
            <w:shd w:val="clear" w:color="000000" w:fill="FFFFFF"/>
            <w:noWrap/>
            <w:vAlign w:val="bottom"/>
            <w:hideMark/>
          </w:tcPr>
          <w:p w14:paraId="5AFF8C5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174 050</w:t>
            </w:r>
          </w:p>
        </w:tc>
        <w:tc>
          <w:tcPr>
            <w:tcW w:w="1604" w:type="dxa"/>
            <w:tcBorders>
              <w:top w:val="nil"/>
              <w:left w:val="nil"/>
              <w:bottom w:val="nil"/>
              <w:right w:val="nil"/>
            </w:tcBorders>
            <w:shd w:val="clear" w:color="000000" w:fill="FFFFFF"/>
            <w:noWrap/>
            <w:vAlign w:val="bottom"/>
            <w:hideMark/>
          </w:tcPr>
          <w:p w14:paraId="18B70088"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0,0%</w:t>
            </w:r>
          </w:p>
        </w:tc>
        <w:tc>
          <w:tcPr>
            <w:tcW w:w="1020" w:type="dxa"/>
            <w:tcBorders>
              <w:top w:val="nil"/>
              <w:left w:val="nil"/>
              <w:bottom w:val="nil"/>
              <w:right w:val="nil"/>
            </w:tcBorders>
            <w:shd w:val="clear" w:color="000000" w:fill="FFFFFF"/>
            <w:noWrap/>
            <w:vAlign w:val="bottom"/>
            <w:hideMark/>
          </w:tcPr>
          <w:p w14:paraId="3F9C139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65 269</w:t>
            </w:r>
          </w:p>
        </w:tc>
        <w:tc>
          <w:tcPr>
            <w:tcW w:w="1040" w:type="dxa"/>
            <w:tcBorders>
              <w:top w:val="nil"/>
              <w:left w:val="nil"/>
              <w:bottom w:val="nil"/>
              <w:right w:val="nil"/>
            </w:tcBorders>
            <w:shd w:val="clear" w:color="000000" w:fill="FFFFFF"/>
            <w:noWrap/>
            <w:vAlign w:val="bottom"/>
            <w:hideMark/>
          </w:tcPr>
          <w:p w14:paraId="61A915F8"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130 538</w:t>
            </w:r>
          </w:p>
        </w:tc>
        <w:tc>
          <w:tcPr>
            <w:tcW w:w="1550" w:type="dxa"/>
            <w:tcBorders>
              <w:top w:val="nil"/>
              <w:left w:val="nil"/>
              <w:bottom w:val="nil"/>
              <w:right w:val="nil"/>
            </w:tcBorders>
            <w:shd w:val="clear" w:color="000000" w:fill="FFFFFF"/>
            <w:noWrap/>
            <w:vAlign w:val="bottom"/>
            <w:hideMark/>
          </w:tcPr>
          <w:p w14:paraId="2EBCC42E"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19 581</w:t>
            </w:r>
          </w:p>
        </w:tc>
        <w:tc>
          <w:tcPr>
            <w:tcW w:w="1510" w:type="dxa"/>
            <w:tcBorders>
              <w:top w:val="nil"/>
              <w:left w:val="nil"/>
              <w:bottom w:val="nil"/>
              <w:right w:val="nil"/>
            </w:tcBorders>
            <w:shd w:val="clear" w:color="000000" w:fill="FFFFFF"/>
            <w:noWrap/>
            <w:vAlign w:val="bottom"/>
            <w:hideMark/>
          </w:tcPr>
          <w:p w14:paraId="1ABEE09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39 161</w:t>
            </w:r>
          </w:p>
        </w:tc>
      </w:tr>
      <w:tr w:rsidR="002E5967" w:rsidRPr="002E5967" w14:paraId="40BEA0CB" w14:textId="77777777" w:rsidTr="00A37AFC">
        <w:trPr>
          <w:trHeight w:val="285"/>
        </w:trPr>
        <w:tc>
          <w:tcPr>
            <w:tcW w:w="980" w:type="dxa"/>
            <w:tcBorders>
              <w:top w:val="nil"/>
              <w:left w:val="nil"/>
              <w:bottom w:val="nil"/>
              <w:right w:val="nil"/>
            </w:tcBorders>
            <w:shd w:val="clear" w:color="000000" w:fill="FFFFFF"/>
            <w:noWrap/>
            <w:vAlign w:val="bottom"/>
            <w:hideMark/>
          </w:tcPr>
          <w:p w14:paraId="2502D0D3"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85–94 år</w:t>
            </w:r>
          </w:p>
        </w:tc>
        <w:tc>
          <w:tcPr>
            <w:tcW w:w="1319" w:type="dxa"/>
            <w:tcBorders>
              <w:top w:val="nil"/>
              <w:left w:val="nil"/>
              <w:bottom w:val="nil"/>
              <w:right w:val="nil"/>
            </w:tcBorders>
            <w:shd w:val="clear" w:color="000000" w:fill="FFFFFF"/>
            <w:noWrap/>
            <w:vAlign w:val="bottom"/>
            <w:hideMark/>
          </w:tcPr>
          <w:p w14:paraId="7811EFB0"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157 150</w:t>
            </w:r>
          </w:p>
        </w:tc>
        <w:tc>
          <w:tcPr>
            <w:tcW w:w="1604" w:type="dxa"/>
            <w:tcBorders>
              <w:top w:val="nil"/>
              <w:left w:val="nil"/>
              <w:bottom w:val="nil"/>
              <w:right w:val="nil"/>
            </w:tcBorders>
            <w:shd w:val="clear" w:color="000000" w:fill="FFFFFF"/>
            <w:noWrap/>
            <w:vAlign w:val="bottom"/>
            <w:hideMark/>
          </w:tcPr>
          <w:p w14:paraId="63252640"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0,0%</w:t>
            </w:r>
          </w:p>
        </w:tc>
        <w:tc>
          <w:tcPr>
            <w:tcW w:w="1020" w:type="dxa"/>
            <w:tcBorders>
              <w:top w:val="nil"/>
              <w:left w:val="nil"/>
              <w:bottom w:val="nil"/>
              <w:right w:val="nil"/>
            </w:tcBorders>
            <w:shd w:val="clear" w:color="000000" w:fill="FFFFFF"/>
            <w:noWrap/>
            <w:vAlign w:val="bottom"/>
            <w:hideMark/>
          </w:tcPr>
          <w:p w14:paraId="2339541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58 931</w:t>
            </w:r>
          </w:p>
        </w:tc>
        <w:tc>
          <w:tcPr>
            <w:tcW w:w="1040" w:type="dxa"/>
            <w:tcBorders>
              <w:top w:val="nil"/>
              <w:left w:val="nil"/>
              <w:bottom w:val="nil"/>
              <w:right w:val="nil"/>
            </w:tcBorders>
            <w:shd w:val="clear" w:color="000000" w:fill="FFFFFF"/>
            <w:noWrap/>
            <w:vAlign w:val="bottom"/>
            <w:hideMark/>
          </w:tcPr>
          <w:p w14:paraId="695B02D0"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117 863</w:t>
            </w:r>
          </w:p>
        </w:tc>
        <w:tc>
          <w:tcPr>
            <w:tcW w:w="1550" w:type="dxa"/>
            <w:tcBorders>
              <w:top w:val="nil"/>
              <w:left w:val="nil"/>
              <w:bottom w:val="nil"/>
              <w:right w:val="nil"/>
            </w:tcBorders>
            <w:shd w:val="clear" w:color="000000" w:fill="FFFFFF"/>
            <w:noWrap/>
            <w:vAlign w:val="bottom"/>
            <w:hideMark/>
          </w:tcPr>
          <w:p w14:paraId="6387E251"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17 679</w:t>
            </w:r>
          </w:p>
        </w:tc>
        <w:tc>
          <w:tcPr>
            <w:tcW w:w="1510" w:type="dxa"/>
            <w:tcBorders>
              <w:top w:val="nil"/>
              <w:left w:val="nil"/>
              <w:bottom w:val="nil"/>
              <w:right w:val="nil"/>
            </w:tcBorders>
            <w:shd w:val="clear" w:color="000000" w:fill="FFFFFF"/>
            <w:noWrap/>
            <w:vAlign w:val="bottom"/>
            <w:hideMark/>
          </w:tcPr>
          <w:p w14:paraId="6F0227D2"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35 359</w:t>
            </w:r>
          </w:p>
        </w:tc>
      </w:tr>
      <w:tr w:rsidR="002E5967" w:rsidRPr="002E5967" w14:paraId="077BC8AF" w14:textId="77777777" w:rsidTr="00A37AFC">
        <w:trPr>
          <w:trHeight w:val="293"/>
        </w:trPr>
        <w:tc>
          <w:tcPr>
            <w:tcW w:w="980" w:type="dxa"/>
            <w:tcBorders>
              <w:top w:val="nil"/>
              <w:left w:val="nil"/>
              <w:bottom w:val="single" w:sz="8" w:space="0" w:color="auto"/>
              <w:right w:val="nil"/>
            </w:tcBorders>
            <w:shd w:val="clear" w:color="000000" w:fill="FFFFFF"/>
            <w:noWrap/>
            <w:vAlign w:val="bottom"/>
            <w:hideMark/>
          </w:tcPr>
          <w:p w14:paraId="6C2B6F2C" w14:textId="77777777" w:rsidR="002E5967" w:rsidRPr="002E5967" w:rsidRDefault="002E5967" w:rsidP="002E5967">
            <w:pPr>
              <w:spacing w:after="0" w:line="240" w:lineRule="auto"/>
              <w:jc w:val="center"/>
              <w:rPr>
                <w:rFonts w:ascii="Calibri" w:eastAsia="Times New Roman" w:hAnsi="Calibri" w:cs="Calibri"/>
                <w:b/>
                <w:bCs/>
                <w:color w:val="000000"/>
                <w:sz w:val="18"/>
                <w:szCs w:val="18"/>
              </w:rPr>
            </w:pPr>
            <w:r w:rsidRPr="002E5967">
              <w:rPr>
                <w:rFonts w:ascii="Calibri" w:eastAsia="Times New Roman" w:hAnsi="Calibri" w:cs="Calibri"/>
                <w:b/>
                <w:bCs/>
                <w:color w:val="000000"/>
                <w:sz w:val="18"/>
                <w:szCs w:val="18"/>
              </w:rPr>
              <w:t>95 + år</w:t>
            </w:r>
          </w:p>
        </w:tc>
        <w:tc>
          <w:tcPr>
            <w:tcW w:w="1319" w:type="dxa"/>
            <w:tcBorders>
              <w:top w:val="nil"/>
              <w:left w:val="nil"/>
              <w:bottom w:val="single" w:sz="8" w:space="0" w:color="auto"/>
              <w:right w:val="nil"/>
            </w:tcBorders>
            <w:shd w:val="clear" w:color="000000" w:fill="FFFFFF"/>
            <w:noWrap/>
            <w:vAlign w:val="bottom"/>
            <w:hideMark/>
          </w:tcPr>
          <w:p w14:paraId="5954EC9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134 400</w:t>
            </w:r>
          </w:p>
        </w:tc>
        <w:tc>
          <w:tcPr>
            <w:tcW w:w="1604" w:type="dxa"/>
            <w:tcBorders>
              <w:top w:val="nil"/>
              <w:left w:val="nil"/>
              <w:bottom w:val="single" w:sz="8" w:space="0" w:color="auto"/>
              <w:right w:val="nil"/>
            </w:tcBorders>
            <w:shd w:val="clear" w:color="000000" w:fill="FFFFFF"/>
            <w:noWrap/>
            <w:vAlign w:val="bottom"/>
            <w:hideMark/>
          </w:tcPr>
          <w:p w14:paraId="2A05FFCE"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0,0%</w:t>
            </w:r>
          </w:p>
        </w:tc>
        <w:tc>
          <w:tcPr>
            <w:tcW w:w="1020" w:type="dxa"/>
            <w:tcBorders>
              <w:top w:val="nil"/>
              <w:left w:val="nil"/>
              <w:bottom w:val="single" w:sz="8" w:space="0" w:color="auto"/>
              <w:right w:val="nil"/>
            </w:tcBorders>
            <w:shd w:val="clear" w:color="000000" w:fill="FFFFFF"/>
            <w:noWrap/>
            <w:vAlign w:val="bottom"/>
            <w:hideMark/>
          </w:tcPr>
          <w:p w14:paraId="4333413A"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50 400</w:t>
            </w:r>
          </w:p>
        </w:tc>
        <w:tc>
          <w:tcPr>
            <w:tcW w:w="1040" w:type="dxa"/>
            <w:tcBorders>
              <w:top w:val="nil"/>
              <w:left w:val="nil"/>
              <w:bottom w:val="single" w:sz="8" w:space="0" w:color="auto"/>
              <w:right w:val="nil"/>
            </w:tcBorders>
            <w:shd w:val="clear" w:color="000000" w:fill="FFFFFF"/>
            <w:noWrap/>
            <w:vAlign w:val="bottom"/>
            <w:hideMark/>
          </w:tcPr>
          <w:p w14:paraId="205A1B2C"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100 800</w:t>
            </w:r>
          </w:p>
        </w:tc>
        <w:tc>
          <w:tcPr>
            <w:tcW w:w="1550" w:type="dxa"/>
            <w:tcBorders>
              <w:top w:val="nil"/>
              <w:left w:val="nil"/>
              <w:bottom w:val="single" w:sz="8" w:space="0" w:color="auto"/>
              <w:right w:val="nil"/>
            </w:tcBorders>
            <w:shd w:val="clear" w:color="000000" w:fill="FFFFFF"/>
            <w:noWrap/>
            <w:vAlign w:val="bottom"/>
            <w:hideMark/>
          </w:tcPr>
          <w:p w14:paraId="3BD13D4D"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15 120</w:t>
            </w:r>
          </w:p>
        </w:tc>
        <w:tc>
          <w:tcPr>
            <w:tcW w:w="1510" w:type="dxa"/>
            <w:tcBorders>
              <w:top w:val="nil"/>
              <w:left w:val="nil"/>
              <w:bottom w:val="single" w:sz="8" w:space="0" w:color="auto"/>
              <w:right w:val="nil"/>
            </w:tcBorders>
            <w:shd w:val="clear" w:color="000000" w:fill="FFFFFF"/>
            <w:noWrap/>
            <w:vAlign w:val="bottom"/>
            <w:hideMark/>
          </w:tcPr>
          <w:p w14:paraId="65299667" w14:textId="77777777" w:rsidR="002E5967" w:rsidRPr="002E5967" w:rsidRDefault="002E5967" w:rsidP="002E5967">
            <w:pPr>
              <w:spacing w:after="0" w:line="240" w:lineRule="auto"/>
              <w:jc w:val="center"/>
              <w:rPr>
                <w:rFonts w:ascii="Calibri" w:eastAsia="Times New Roman" w:hAnsi="Calibri" w:cs="Calibri"/>
                <w:color w:val="000000"/>
                <w:sz w:val="18"/>
                <w:szCs w:val="18"/>
              </w:rPr>
            </w:pPr>
            <w:r w:rsidRPr="002E5967">
              <w:rPr>
                <w:rFonts w:ascii="Calibri" w:eastAsia="Times New Roman" w:hAnsi="Calibri" w:cs="Calibri"/>
                <w:color w:val="000000"/>
                <w:sz w:val="18"/>
                <w:szCs w:val="18"/>
              </w:rPr>
              <w:t>30 240</w:t>
            </w:r>
          </w:p>
        </w:tc>
      </w:tr>
    </w:tbl>
    <w:p w14:paraId="32CE9E31" w14:textId="77777777" w:rsidR="00A37AFC" w:rsidRDefault="002E5967" w:rsidP="00083A9A">
      <w:pPr>
        <w:rPr>
          <w:sz w:val="16"/>
          <w:szCs w:val="16"/>
        </w:rPr>
      </w:pPr>
      <w:r w:rsidRPr="002E5967">
        <w:rPr>
          <w:sz w:val="16"/>
          <w:szCs w:val="16"/>
        </w:rPr>
        <w:t>Tabell: medianinkomst, sysselsättningsgrad och förväntade inkomster och skatteintäkter.</w:t>
      </w:r>
    </w:p>
    <w:p w14:paraId="3B97959E" w14:textId="77777777" w:rsidR="00E65D70" w:rsidRDefault="002E5967" w:rsidP="00083A9A">
      <w:r>
        <w:t xml:space="preserve">Vi har valt att anta att skattesatsen </w:t>
      </w:r>
      <w:r w:rsidR="00A37AFC">
        <w:t>är 32 procent av bruttolön. Det är givetvis en approximation men eftersom vi betraktar medianinkomsten är detta ett acceptabelt antagande. Vidare har vi gjort antagandet att sysselsättningsgraden av patientpopulationen är densamma som den av resten av befolkningen. De förväntade inkomsterna beräknas för individerna som genomgår de olika behandlingarna genom att utnyttja de</w:t>
      </w:r>
      <w:r w:rsidR="005004EE">
        <w:t>n</w:t>
      </w:r>
      <w:r w:rsidR="00A37AFC">
        <w:t xml:space="preserve"> uppskattade produktivitetskvoten. Notera att inga inkomster eller skatteintäkter förväntas från grupper i haemodialys. </w:t>
      </w:r>
    </w:p>
    <w:p w14:paraId="4153A3BE" w14:textId="77777777" w:rsidR="00D240B0" w:rsidRPr="00083A9A" w:rsidRDefault="00D240B0" w:rsidP="00083A9A"/>
    <w:p w14:paraId="40BD8598" w14:textId="77777777" w:rsidR="00E0585F" w:rsidRDefault="00E0585F" w:rsidP="00E0585F">
      <w:pPr>
        <w:pStyle w:val="Rubrik2"/>
      </w:pPr>
      <w:bookmarkStart w:id="8" w:name="_Toc474824366"/>
      <w:r w:rsidRPr="00C6649D">
        <w:rPr>
          <w:color w:val="FF0000"/>
        </w:rPr>
        <w:t>Resultat</w:t>
      </w:r>
      <w:bookmarkEnd w:id="8"/>
    </w:p>
    <w:p w14:paraId="41BADC54" w14:textId="0D920EC2" w:rsidR="00B85433" w:rsidRDefault="00371887" w:rsidP="004337A9">
      <w:r>
        <w:t>Alla resultat som presenteras i detta avsnitt baseras på de antaganden vi gjort samt den statistik vi har analyserat. Som påpekades i inledningen har DCD-processen inte prövat</w:t>
      </w:r>
      <w:r w:rsidR="005004EE">
        <w:t>s</w:t>
      </w:r>
      <w:r>
        <w:t xml:space="preserve"> i Sverige och målet med denna utredning </w:t>
      </w:r>
      <w:r w:rsidR="005004EE">
        <w:t xml:space="preserve">är </w:t>
      </w:r>
      <w:r>
        <w:t xml:space="preserve">ett led </w:t>
      </w:r>
      <w:r w:rsidR="005004EE">
        <w:t xml:space="preserve">i </w:t>
      </w:r>
      <w:r>
        <w:t xml:space="preserve">att </w:t>
      </w:r>
      <w:r w:rsidR="00B85433">
        <w:t>avgöra huruvida processen kan bli antagen som en del av njursviktsvården.</w:t>
      </w:r>
    </w:p>
    <w:p w14:paraId="38A360A0" w14:textId="77777777" w:rsidR="00533B0F" w:rsidRDefault="00B85433" w:rsidP="004337A9">
      <w:r>
        <w:t xml:space="preserve"> Vi valde att </w:t>
      </w:r>
      <w:r w:rsidR="00177014">
        <w:t xml:space="preserve">utöka andelen transplanterade på ett sådant sätt att kvoten mellan DCD- och DBD-donationer är densamma som i Storbritannien.  </w:t>
      </w:r>
      <w:r w:rsidR="00C16444">
        <w:t xml:space="preserve">Idag är cirka 7 procent av patienterna transplanterade men de resterande 93 procent är under dialys. I Storbritannien har cirka 68 procent av de transplanterade erhållit en DBD-donerad njure medan 34 procent har fått en DCD-donerad njure. Översätts detta till svenska förhållanden innebär det att 4,6 procent av patienterna skulle kunna få en DCD-donerad njure. Införandeprocessen är lång och det borde vara tydligt att dessa siffror inte tros gälla vid start. Analysen avser dock att studera de potentiella långtidseffekter av att adoptera en DCD-process och vi har därmed valt att göra våra beräkningar </w:t>
      </w:r>
      <w:r w:rsidR="00235910">
        <w:t>avseende ett system som har en väletablerad process. Det anser vi ge en rättvisare bild av de ekonomiska konsekvenser</w:t>
      </w:r>
      <w:r w:rsidR="00D7459E">
        <w:t>na</w:t>
      </w:r>
      <w:r w:rsidR="00235910">
        <w:t xml:space="preserve"> av införandet av en ny behandling. </w:t>
      </w:r>
    </w:p>
    <w:p w14:paraId="6EBEB95B" w14:textId="374CDB0E" w:rsidR="00A758FE" w:rsidRDefault="00D7459E" w:rsidP="004337A9">
      <w:r>
        <w:t xml:space="preserve">Vi har också valt att förflytta lika stora andelar av patienter från HD och PD till DCD-processen. </w:t>
      </w:r>
      <w:r w:rsidR="005004EE">
        <w:t xml:space="preserve">Om </w:t>
      </w:r>
      <w:r>
        <w:t xml:space="preserve">det skulle vara </w:t>
      </w:r>
      <w:r w:rsidR="005004EE">
        <w:t xml:space="preserve">på </w:t>
      </w:r>
      <w:r>
        <w:t>det sättet vården skulle hantera situationen låter vi vara osagt. Givet skillnader i livskvalité och produktivitet mellan dessa dialysformer kan vi mycket väl tänka oss att HD-patienter skulle prioriteras. Modellen har ingen inbyggd tillförsel av patienter i olika åldrar och</w:t>
      </w:r>
      <w:r w:rsidR="005004EE">
        <w:t xml:space="preserve"> med</w:t>
      </w:r>
      <w:r>
        <w:t xml:space="preserve"> olika behandlingshistorik eller diagnos och det är troligt att valet av patienter för en transplantation med en DCD-donerad njure skulle också påverkas av sådana faktorer.</w:t>
      </w:r>
      <w:r w:rsidR="00985D1F">
        <w:t xml:space="preserve"> Att konstruera en sådan modell kräver fullständig</w:t>
      </w:r>
      <w:r w:rsidR="005004EE">
        <w:t>a</w:t>
      </w:r>
      <w:r w:rsidR="00985D1F">
        <w:t xml:space="preserve"> historiska data över patientpopulationen </w:t>
      </w:r>
      <w:r w:rsidR="005C4AFD">
        <w:t xml:space="preserve">och mer avancerade metoder som troligtvis inte tillför mycket mer till analysen och resultaten. </w:t>
      </w:r>
    </w:p>
    <w:p w14:paraId="25D9D318" w14:textId="77777777" w:rsidR="00FC099F" w:rsidRDefault="005C4AFD" w:rsidP="004337A9">
      <w:r>
        <w:t xml:space="preserve">Det ska poängteras att resultaten är oberoende av antalet patienter som tillförs modellen. Vi är intresserade av kostnaden per vunnen QALY, inte den totala kostnaden. </w:t>
      </w:r>
    </w:p>
    <w:p w14:paraId="3083FD16" w14:textId="77777777" w:rsidR="00536DAD" w:rsidRDefault="00A758FE" w:rsidP="00A065EA">
      <w:r>
        <w:t>Modellen är byggd på ett sådant sätt att de patienter som äntrar modellen fördelas först i tre grupper: HD-patienter, PD-patienter och DBD-Tx-patienter.</w:t>
      </w:r>
      <w:r w:rsidR="00B54B02">
        <w:t xml:space="preserve"> Dessa grupper representerar patienterna i Behandling 1.</w:t>
      </w:r>
      <w:r>
        <w:t xml:space="preserve"> Antalet överlevande patienter i de tre grupperna beräknas för åren 1, 2, 5 och 10 och de vunna QALY:s beräknas för dessa år. De totala kostnaderna för varje grupp beräknas. För varje mätår har vi således den totala kostnaden per QALY. </w:t>
      </w:r>
    </w:p>
    <w:p w14:paraId="529105C4" w14:textId="77777777" w:rsidR="00CC5AE3" w:rsidRDefault="00A758FE" w:rsidP="00A065EA">
      <w:r>
        <w:t>I nästa skede görs samma beräkningar för fyra grupper: HD-patienter, PD-patienter, DBD-Tx-patienter och</w:t>
      </w:r>
      <w:r w:rsidR="00B54B02">
        <w:t xml:space="preserve"> DCD-Tx-patienter som ingår i Behandling 2. </w:t>
      </w:r>
    </w:p>
    <w:p w14:paraId="209702B4" w14:textId="77777777" w:rsidR="00533B0F" w:rsidRDefault="00533B0F" w:rsidP="00A065EA"/>
    <w:tbl>
      <w:tblPr>
        <w:tblW w:w="7080" w:type="dxa"/>
        <w:jc w:val="center"/>
        <w:tblCellMar>
          <w:left w:w="70" w:type="dxa"/>
          <w:right w:w="70" w:type="dxa"/>
        </w:tblCellMar>
        <w:tblLook w:val="04A0" w:firstRow="1" w:lastRow="0" w:firstColumn="1" w:lastColumn="0" w:noHBand="0" w:noVBand="1"/>
      </w:tblPr>
      <w:tblGrid>
        <w:gridCol w:w="1941"/>
        <w:gridCol w:w="1579"/>
        <w:gridCol w:w="1963"/>
        <w:gridCol w:w="1597"/>
      </w:tblGrid>
      <w:tr w:rsidR="00CC5AE3" w:rsidRPr="00CC5AE3" w14:paraId="00D351F3" w14:textId="77777777" w:rsidTr="00CC5AE3">
        <w:trPr>
          <w:trHeight w:val="285"/>
          <w:jc w:val="center"/>
        </w:trPr>
        <w:tc>
          <w:tcPr>
            <w:tcW w:w="3520" w:type="dxa"/>
            <w:gridSpan w:val="2"/>
            <w:tcBorders>
              <w:top w:val="single" w:sz="4" w:space="0" w:color="auto"/>
              <w:left w:val="nil"/>
              <w:bottom w:val="nil"/>
              <w:right w:val="nil"/>
            </w:tcBorders>
            <w:shd w:val="clear" w:color="000000" w:fill="FFFFFF"/>
            <w:noWrap/>
            <w:vAlign w:val="center"/>
            <w:hideMark/>
          </w:tcPr>
          <w:p w14:paraId="5C4F6657" w14:textId="77777777" w:rsidR="00CC5AE3" w:rsidRPr="00CC5AE3" w:rsidRDefault="00CC5AE3" w:rsidP="00CC5AE3">
            <w:pPr>
              <w:spacing w:after="0" w:line="240" w:lineRule="auto"/>
              <w:jc w:val="center"/>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Behandling 1</w:t>
            </w:r>
          </w:p>
        </w:tc>
        <w:tc>
          <w:tcPr>
            <w:tcW w:w="3560" w:type="dxa"/>
            <w:gridSpan w:val="2"/>
            <w:tcBorders>
              <w:top w:val="single" w:sz="4" w:space="0" w:color="auto"/>
              <w:left w:val="nil"/>
              <w:bottom w:val="nil"/>
              <w:right w:val="nil"/>
            </w:tcBorders>
            <w:shd w:val="clear" w:color="000000" w:fill="FFFFFF"/>
            <w:noWrap/>
            <w:vAlign w:val="center"/>
            <w:hideMark/>
          </w:tcPr>
          <w:p w14:paraId="6D160539" w14:textId="77777777" w:rsidR="00CC5AE3" w:rsidRPr="00CC5AE3" w:rsidRDefault="00CC5AE3" w:rsidP="00CC5AE3">
            <w:pPr>
              <w:spacing w:after="0" w:line="240" w:lineRule="auto"/>
              <w:jc w:val="center"/>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Behandling 2</w:t>
            </w:r>
          </w:p>
        </w:tc>
      </w:tr>
      <w:tr w:rsidR="00CC5AE3" w:rsidRPr="00CC5AE3" w14:paraId="521B5D2A" w14:textId="77777777" w:rsidTr="00CC5AE3">
        <w:trPr>
          <w:trHeight w:val="293"/>
          <w:jc w:val="center"/>
        </w:trPr>
        <w:tc>
          <w:tcPr>
            <w:tcW w:w="1941" w:type="dxa"/>
            <w:tcBorders>
              <w:top w:val="nil"/>
              <w:left w:val="nil"/>
              <w:bottom w:val="single" w:sz="8" w:space="0" w:color="auto"/>
              <w:right w:val="nil"/>
            </w:tcBorders>
            <w:shd w:val="clear" w:color="000000" w:fill="FFFFFF"/>
            <w:noWrap/>
            <w:vAlign w:val="bottom"/>
            <w:hideMark/>
          </w:tcPr>
          <w:p w14:paraId="45FB7CAB"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Grupp</w:t>
            </w:r>
          </w:p>
        </w:tc>
        <w:tc>
          <w:tcPr>
            <w:tcW w:w="1579" w:type="dxa"/>
            <w:tcBorders>
              <w:top w:val="nil"/>
              <w:left w:val="nil"/>
              <w:bottom w:val="single" w:sz="8" w:space="0" w:color="auto"/>
              <w:right w:val="nil"/>
            </w:tcBorders>
            <w:shd w:val="clear" w:color="000000" w:fill="FFFFFF"/>
            <w:noWrap/>
            <w:vAlign w:val="bottom"/>
            <w:hideMark/>
          </w:tcPr>
          <w:p w14:paraId="5BEA7819"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Andel</w:t>
            </w:r>
          </w:p>
        </w:tc>
        <w:tc>
          <w:tcPr>
            <w:tcW w:w="1963" w:type="dxa"/>
            <w:tcBorders>
              <w:top w:val="nil"/>
              <w:left w:val="nil"/>
              <w:bottom w:val="single" w:sz="8" w:space="0" w:color="auto"/>
              <w:right w:val="nil"/>
            </w:tcBorders>
            <w:shd w:val="clear" w:color="000000" w:fill="FFFFFF"/>
            <w:noWrap/>
            <w:vAlign w:val="bottom"/>
            <w:hideMark/>
          </w:tcPr>
          <w:p w14:paraId="4D0E436E"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Grupp</w:t>
            </w:r>
          </w:p>
        </w:tc>
        <w:tc>
          <w:tcPr>
            <w:tcW w:w="1597" w:type="dxa"/>
            <w:tcBorders>
              <w:top w:val="nil"/>
              <w:left w:val="nil"/>
              <w:bottom w:val="single" w:sz="8" w:space="0" w:color="auto"/>
              <w:right w:val="nil"/>
            </w:tcBorders>
            <w:shd w:val="clear" w:color="000000" w:fill="FFFFFF"/>
            <w:noWrap/>
            <w:vAlign w:val="bottom"/>
            <w:hideMark/>
          </w:tcPr>
          <w:p w14:paraId="373D9F77"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Andel</w:t>
            </w:r>
          </w:p>
        </w:tc>
      </w:tr>
      <w:tr w:rsidR="00CC5AE3" w:rsidRPr="00CC5AE3" w14:paraId="17DFB08E" w14:textId="77777777" w:rsidTr="00CC5AE3">
        <w:trPr>
          <w:trHeight w:val="285"/>
          <w:jc w:val="center"/>
        </w:trPr>
        <w:tc>
          <w:tcPr>
            <w:tcW w:w="1941" w:type="dxa"/>
            <w:tcBorders>
              <w:top w:val="nil"/>
              <w:left w:val="nil"/>
              <w:bottom w:val="nil"/>
              <w:right w:val="nil"/>
            </w:tcBorders>
            <w:shd w:val="clear" w:color="000000" w:fill="FFFFFF"/>
            <w:noWrap/>
            <w:vAlign w:val="bottom"/>
            <w:hideMark/>
          </w:tcPr>
          <w:p w14:paraId="7ED1F24A"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DBD-Tx</w:t>
            </w:r>
          </w:p>
        </w:tc>
        <w:tc>
          <w:tcPr>
            <w:tcW w:w="1579" w:type="dxa"/>
            <w:tcBorders>
              <w:top w:val="nil"/>
              <w:left w:val="nil"/>
              <w:bottom w:val="nil"/>
              <w:right w:val="nil"/>
            </w:tcBorders>
            <w:shd w:val="clear" w:color="000000" w:fill="FFFFFF"/>
            <w:noWrap/>
            <w:vAlign w:val="bottom"/>
            <w:hideMark/>
          </w:tcPr>
          <w:p w14:paraId="5748FF83"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7,0%</w:t>
            </w:r>
          </w:p>
        </w:tc>
        <w:tc>
          <w:tcPr>
            <w:tcW w:w="1963" w:type="dxa"/>
            <w:tcBorders>
              <w:top w:val="nil"/>
              <w:left w:val="nil"/>
              <w:bottom w:val="nil"/>
              <w:right w:val="nil"/>
            </w:tcBorders>
            <w:shd w:val="clear" w:color="000000" w:fill="FFFFFF"/>
            <w:noWrap/>
            <w:vAlign w:val="bottom"/>
            <w:hideMark/>
          </w:tcPr>
          <w:p w14:paraId="267F1D88"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DBD-Tx</w:t>
            </w:r>
          </w:p>
        </w:tc>
        <w:tc>
          <w:tcPr>
            <w:tcW w:w="1597" w:type="dxa"/>
            <w:tcBorders>
              <w:top w:val="nil"/>
              <w:left w:val="nil"/>
              <w:bottom w:val="nil"/>
              <w:right w:val="nil"/>
            </w:tcBorders>
            <w:shd w:val="clear" w:color="000000" w:fill="FFFFFF"/>
            <w:noWrap/>
            <w:vAlign w:val="bottom"/>
            <w:hideMark/>
          </w:tcPr>
          <w:p w14:paraId="759CB52F"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7,0%</w:t>
            </w:r>
          </w:p>
        </w:tc>
      </w:tr>
      <w:tr w:rsidR="00CC5AE3" w:rsidRPr="00CC5AE3" w14:paraId="13A65ABA" w14:textId="77777777" w:rsidTr="00CC5AE3">
        <w:trPr>
          <w:trHeight w:val="285"/>
          <w:jc w:val="center"/>
        </w:trPr>
        <w:tc>
          <w:tcPr>
            <w:tcW w:w="1941" w:type="dxa"/>
            <w:tcBorders>
              <w:top w:val="nil"/>
              <w:left w:val="nil"/>
              <w:bottom w:val="nil"/>
              <w:right w:val="nil"/>
            </w:tcBorders>
            <w:shd w:val="clear" w:color="000000" w:fill="FFFFFF"/>
            <w:noWrap/>
            <w:vAlign w:val="bottom"/>
            <w:hideMark/>
          </w:tcPr>
          <w:p w14:paraId="7B850163"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HD</w:t>
            </w:r>
          </w:p>
        </w:tc>
        <w:tc>
          <w:tcPr>
            <w:tcW w:w="1579" w:type="dxa"/>
            <w:tcBorders>
              <w:top w:val="nil"/>
              <w:left w:val="nil"/>
              <w:bottom w:val="nil"/>
              <w:right w:val="nil"/>
            </w:tcBorders>
            <w:shd w:val="clear" w:color="000000" w:fill="FFFFFF"/>
            <w:noWrap/>
            <w:vAlign w:val="bottom"/>
            <w:hideMark/>
          </w:tcPr>
          <w:p w14:paraId="38932FF2"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64,0%</w:t>
            </w:r>
          </w:p>
        </w:tc>
        <w:tc>
          <w:tcPr>
            <w:tcW w:w="1963" w:type="dxa"/>
            <w:tcBorders>
              <w:top w:val="nil"/>
              <w:left w:val="nil"/>
              <w:bottom w:val="nil"/>
              <w:right w:val="nil"/>
            </w:tcBorders>
            <w:shd w:val="clear" w:color="000000" w:fill="FFFFFF"/>
            <w:noWrap/>
            <w:vAlign w:val="bottom"/>
            <w:hideMark/>
          </w:tcPr>
          <w:p w14:paraId="01A32FDC"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DCD-Tx</w:t>
            </w:r>
          </w:p>
        </w:tc>
        <w:tc>
          <w:tcPr>
            <w:tcW w:w="1597" w:type="dxa"/>
            <w:tcBorders>
              <w:top w:val="nil"/>
              <w:left w:val="nil"/>
              <w:bottom w:val="nil"/>
              <w:right w:val="nil"/>
            </w:tcBorders>
            <w:shd w:val="clear" w:color="000000" w:fill="FFFFFF"/>
            <w:noWrap/>
            <w:vAlign w:val="bottom"/>
            <w:hideMark/>
          </w:tcPr>
          <w:p w14:paraId="6C6FAF56"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4,6%</w:t>
            </w:r>
          </w:p>
        </w:tc>
      </w:tr>
      <w:tr w:rsidR="00CC5AE3" w:rsidRPr="00CC5AE3" w14:paraId="7D11DB22" w14:textId="77777777" w:rsidTr="00CC5AE3">
        <w:trPr>
          <w:trHeight w:val="285"/>
          <w:jc w:val="center"/>
        </w:trPr>
        <w:tc>
          <w:tcPr>
            <w:tcW w:w="1941" w:type="dxa"/>
            <w:tcBorders>
              <w:top w:val="nil"/>
              <w:left w:val="nil"/>
              <w:bottom w:val="nil"/>
              <w:right w:val="nil"/>
            </w:tcBorders>
            <w:shd w:val="clear" w:color="000000" w:fill="FFFFFF"/>
            <w:noWrap/>
            <w:vAlign w:val="bottom"/>
            <w:hideMark/>
          </w:tcPr>
          <w:p w14:paraId="6FF3408C"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PD</w:t>
            </w:r>
          </w:p>
        </w:tc>
        <w:tc>
          <w:tcPr>
            <w:tcW w:w="1579" w:type="dxa"/>
            <w:tcBorders>
              <w:top w:val="nil"/>
              <w:left w:val="nil"/>
              <w:bottom w:val="nil"/>
              <w:right w:val="nil"/>
            </w:tcBorders>
            <w:shd w:val="clear" w:color="000000" w:fill="FFFFFF"/>
            <w:noWrap/>
            <w:vAlign w:val="bottom"/>
            <w:hideMark/>
          </w:tcPr>
          <w:p w14:paraId="620036CA"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29,0%</w:t>
            </w:r>
          </w:p>
        </w:tc>
        <w:tc>
          <w:tcPr>
            <w:tcW w:w="1963" w:type="dxa"/>
            <w:tcBorders>
              <w:top w:val="nil"/>
              <w:left w:val="nil"/>
              <w:bottom w:val="nil"/>
              <w:right w:val="nil"/>
            </w:tcBorders>
            <w:shd w:val="clear" w:color="000000" w:fill="FFFFFF"/>
            <w:noWrap/>
            <w:vAlign w:val="bottom"/>
            <w:hideMark/>
          </w:tcPr>
          <w:p w14:paraId="3D42CE02"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HD</w:t>
            </w:r>
          </w:p>
        </w:tc>
        <w:tc>
          <w:tcPr>
            <w:tcW w:w="1597" w:type="dxa"/>
            <w:tcBorders>
              <w:top w:val="nil"/>
              <w:left w:val="nil"/>
              <w:bottom w:val="nil"/>
              <w:right w:val="nil"/>
            </w:tcBorders>
            <w:shd w:val="clear" w:color="000000" w:fill="FFFFFF"/>
            <w:noWrap/>
            <w:vAlign w:val="bottom"/>
            <w:hideMark/>
          </w:tcPr>
          <w:p w14:paraId="46E5E869"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61,7%</w:t>
            </w:r>
          </w:p>
        </w:tc>
      </w:tr>
      <w:tr w:rsidR="00CC5AE3" w:rsidRPr="00CC5AE3" w14:paraId="640598DB" w14:textId="77777777" w:rsidTr="00CC5AE3">
        <w:trPr>
          <w:trHeight w:val="293"/>
          <w:jc w:val="center"/>
        </w:trPr>
        <w:tc>
          <w:tcPr>
            <w:tcW w:w="1941" w:type="dxa"/>
            <w:tcBorders>
              <w:top w:val="nil"/>
              <w:left w:val="nil"/>
              <w:bottom w:val="single" w:sz="8" w:space="0" w:color="auto"/>
              <w:right w:val="nil"/>
            </w:tcBorders>
            <w:shd w:val="clear" w:color="000000" w:fill="FFFFFF"/>
            <w:noWrap/>
            <w:vAlign w:val="bottom"/>
            <w:hideMark/>
          </w:tcPr>
          <w:p w14:paraId="3110A322"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 </w:t>
            </w:r>
          </w:p>
        </w:tc>
        <w:tc>
          <w:tcPr>
            <w:tcW w:w="1579" w:type="dxa"/>
            <w:tcBorders>
              <w:top w:val="nil"/>
              <w:left w:val="nil"/>
              <w:bottom w:val="single" w:sz="8" w:space="0" w:color="auto"/>
              <w:right w:val="nil"/>
            </w:tcBorders>
            <w:shd w:val="clear" w:color="000000" w:fill="FFFFFF"/>
            <w:noWrap/>
            <w:vAlign w:val="bottom"/>
            <w:hideMark/>
          </w:tcPr>
          <w:p w14:paraId="664F2BE3" w14:textId="77777777" w:rsidR="00CC5AE3" w:rsidRPr="00CC5AE3" w:rsidRDefault="00CC5AE3" w:rsidP="00CC5AE3">
            <w:pPr>
              <w:spacing w:after="0" w:line="240" w:lineRule="auto"/>
              <w:rPr>
                <w:rFonts w:ascii="Calibri" w:eastAsia="Times New Roman" w:hAnsi="Calibri" w:cs="Calibri"/>
                <w:color w:val="000000"/>
                <w:sz w:val="18"/>
                <w:szCs w:val="18"/>
              </w:rPr>
            </w:pPr>
            <w:r w:rsidRPr="00CC5AE3">
              <w:rPr>
                <w:rFonts w:ascii="Calibri" w:eastAsia="Times New Roman" w:hAnsi="Calibri" w:cs="Calibri"/>
                <w:color w:val="000000"/>
                <w:sz w:val="18"/>
                <w:szCs w:val="18"/>
              </w:rPr>
              <w:t> </w:t>
            </w:r>
          </w:p>
        </w:tc>
        <w:tc>
          <w:tcPr>
            <w:tcW w:w="1963" w:type="dxa"/>
            <w:tcBorders>
              <w:top w:val="nil"/>
              <w:left w:val="nil"/>
              <w:bottom w:val="single" w:sz="8" w:space="0" w:color="auto"/>
              <w:right w:val="nil"/>
            </w:tcBorders>
            <w:shd w:val="clear" w:color="000000" w:fill="FFFFFF"/>
            <w:noWrap/>
            <w:vAlign w:val="bottom"/>
            <w:hideMark/>
          </w:tcPr>
          <w:p w14:paraId="065389D2" w14:textId="77777777" w:rsidR="00CC5AE3" w:rsidRPr="00CC5AE3" w:rsidRDefault="00CC5AE3" w:rsidP="00CC5AE3">
            <w:pPr>
              <w:spacing w:after="0" w:line="240" w:lineRule="auto"/>
              <w:rPr>
                <w:rFonts w:ascii="Calibri" w:eastAsia="Times New Roman" w:hAnsi="Calibri" w:cs="Calibri"/>
                <w:b/>
                <w:bCs/>
                <w:color w:val="000000"/>
                <w:sz w:val="18"/>
                <w:szCs w:val="18"/>
              </w:rPr>
            </w:pPr>
            <w:r w:rsidRPr="00CC5AE3">
              <w:rPr>
                <w:rFonts w:ascii="Calibri" w:eastAsia="Times New Roman" w:hAnsi="Calibri" w:cs="Calibri"/>
                <w:b/>
                <w:bCs/>
                <w:color w:val="000000"/>
                <w:sz w:val="18"/>
                <w:szCs w:val="18"/>
              </w:rPr>
              <w:t>PD</w:t>
            </w:r>
          </w:p>
        </w:tc>
        <w:tc>
          <w:tcPr>
            <w:tcW w:w="1597" w:type="dxa"/>
            <w:tcBorders>
              <w:top w:val="nil"/>
              <w:left w:val="nil"/>
              <w:bottom w:val="single" w:sz="8" w:space="0" w:color="auto"/>
              <w:right w:val="nil"/>
            </w:tcBorders>
            <w:shd w:val="clear" w:color="000000" w:fill="FFFFFF"/>
            <w:noWrap/>
            <w:vAlign w:val="bottom"/>
            <w:hideMark/>
          </w:tcPr>
          <w:p w14:paraId="4DDAF569" w14:textId="77777777" w:rsidR="00CC5AE3" w:rsidRPr="00CC5AE3" w:rsidRDefault="00CC5AE3" w:rsidP="00CC5AE3">
            <w:pPr>
              <w:spacing w:after="0" w:line="240" w:lineRule="auto"/>
              <w:jc w:val="right"/>
              <w:rPr>
                <w:rFonts w:ascii="Calibri" w:eastAsia="Times New Roman" w:hAnsi="Calibri" w:cs="Calibri"/>
                <w:color w:val="000000"/>
                <w:sz w:val="18"/>
                <w:szCs w:val="18"/>
              </w:rPr>
            </w:pPr>
            <w:r w:rsidRPr="00CC5AE3">
              <w:rPr>
                <w:rFonts w:ascii="Calibri" w:eastAsia="Times New Roman" w:hAnsi="Calibri" w:cs="Calibri"/>
                <w:color w:val="000000"/>
                <w:sz w:val="18"/>
                <w:szCs w:val="18"/>
              </w:rPr>
              <w:t>26,7%</w:t>
            </w:r>
          </w:p>
        </w:tc>
      </w:tr>
    </w:tbl>
    <w:p w14:paraId="45C5EFFC" w14:textId="77777777" w:rsidR="00CC5AE3" w:rsidRPr="008269A5" w:rsidRDefault="008269A5" w:rsidP="00A065EA">
      <w:pPr>
        <w:rPr>
          <w:sz w:val="16"/>
          <w:szCs w:val="16"/>
        </w:rPr>
      </w:pPr>
      <w:r w:rsidRPr="008269A5">
        <w:rPr>
          <w:sz w:val="16"/>
          <w:szCs w:val="16"/>
        </w:rPr>
        <w:t xml:space="preserve">Tabell: </w:t>
      </w:r>
      <w:r w:rsidR="003453BD">
        <w:rPr>
          <w:sz w:val="16"/>
          <w:szCs w:val="16"/>
        </w:rPr>
        <w:t xml:space="preserve">Fördelning av patienterna i behandlingarna 1 och 2. </w:t>
      </w:r>
      <w:r w:rsidR="003A1997">
        <w:rPr>
          <w:sz w:val="16"/>
          <w:szCs w:val="16"/>
        </w:rPr>
        <w:t xml:space="preserve">De patienter som blir transplanterade efter en DCD-process tas från stocken av dialyspatienter. Lika stor andel tas från HD- och PD-patienterna. Realiteten kan se något annorlunda. Om en större andel HD-patienter väljs ut för transplantation kan detta innebära ännu större vinster än det som presenteras i analysen. </w:t>
      </w:r>
    </w:p>
    <w:p w14:paraId="55947C00" w14:textId="77777777" w:rsidR="003E6C8B" w:rsidRDefault="00B54B02" w:rsidP="00A065EA">
      <w:r>
        <w:t>I och med den förbättrade patientöverlevnaden av transplanterade patienter och det mindre antal HD</w:t>
      </w:r>
      <w:r w:rsidR="00CC5AE3">
        <w:t>/PD-patienter är det klart att det är fler överlevande patienter varje år för de patienter som tillhör grupperna i Behandling 2. Detta betyder i sin tur att det totala antalet QALY för individerna som har genomgått Behandling 2 är fler än för de som genomgått Behandling 1.</w:t>
      </w:r>
    </w:p>
    <w:tbl>
      <w:tblPr>
        <w:tblW w:w="8940" w:type="dxa"/>
        <w:tblCellMar>
          <w:left w:w="70" w:type="dxa"/>
          <w:right w:w="70" w:type="dxa"/>
        </w:tblCellMar>
        <w:tblLook w:val="04A0" w:firstRow="1" w:lastRow="0" w:firstColumn="1" w:lastColumn="0" w:noHBand="0" w:noVBand="1"/>
      </w:tblPr>
      <w:tblGrid>
        <w:gridCol w:w="3220"/>
        <w:gridCol w:w="1960"/>
        <w:gridCol w:w="1800"/>
        <w:gridCol w:w="1960"/>
      </w:tblGrid>
      <w:tr w:rsidR="003E6C8B" w:rsidRPr="003E6C8B" w14:paraId="76853727" w14:textId="77777777" w:rsidTr="003E6C8B">
        <w:trPr>
          <w:trHeight w:val="293"/>
        </w:trPr>
        <w:tc>
          <w:tcPr>
            <w:tcW w:w="3220" w:type="dxa"/>
            <w:tcBorders>
              <w:top w:val="single" w:sz="4" w:space="0" w:color="auto"/>
              <w:left w:val="nil"/>
              <w:bottom w:val="single" w:sz="8" w:space="0" w:color="auto"/>
              <w:right w:val="nil"/>
            </w:tcBorders>
            <w:shd w:val="clear" w:color="000000" w:fill="FFFFFF"/>
            <w:noWrap/>
            <w:vAlign w:val="bottom"/>
            <w:hideMark/>
          </w:tcPr>
          <w:p w14:paraId="3C65E397" w14:textId="77777777" w:rsidR="003E6C8B" w:rsidRPr="003E6C8B" w:rsidRDefault="003E6C8B" w:rsidP="003E6C8B">
            <w:pPr>
              <w:spacing w:after="0" w:line="240" w:lineRule="auto"/>
              <w:rPr>
                <w:rFonts w:ascii="Calibri" w:eastAsia="Times New Roman" w:hAnsi="Calibri" w:cs="Calibri"/>
                <w:color w:val="000000"/>
                <w:sz w:val="18"/>
                <w:szCs w:val="18"/>
              </w:rPr>
            </w:pPr>
            <w:r w:rsidRPr="003E6C8B">
              <w:rPr>
                <w:rFonts w:ascii="Calibri" w:eastAsia="Times New Roman" w:hAnsi="Calibri" w:cs="Calibri"/>
                <w:color w:val="000000"/>
                <w:sz w:val="18"/>
                <w:szCs w:val="18"/>
              </w:rPr>
              <w:t> </w:t>
            </w:r>
          </w:p>
        </w:tc>
        <w:tc>
          <w:tcPr>
            <w:tcW w:w="1960" w:type="dxa"/>
            <w:tcBorders>
              <w:top w:val="single" w:sz="4" w:space="0" w:color="auto"/>
              <w:left w:val="nil"/>
              <w:bottom w:val="single" w:sz="8" w:space="0" w:color="auto"/>
              <w:right w:val="nil"/>
            </w:tcBorders>
            <w:shd w:val="clear" w:color="000000" w:fill="FFFFFF"/>
            <w:noWrap/>
            <w:vAlign w:val="bottom"/>
            <w:hideMark/>
          </w:tcPr>
          <w:p w14:paraId="2BD8FEA9" w14:textId="77777777" w:rsidR="003E6C8B" w:rsidRPr="003E6C8B" w:rsidRDefault="00497AE3" w:rsidP="003E6C8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Vunna QALY (Sämst</w:t>
            </w:r>
            <w:r w:rsidR="003E6C8B" w:rsidRPr="003E6C8B">
              <w:rPr>
                <w:rFonts w:ascii="Calibri" w:eastAsia="Times New Roman" w:hAnsi="Calibri" w:cs="Calibri"/>
                <w:color w:val="000000"/>
                <w:sz w:val="18"/>
                <w:szCs w:val="18"/>
              </w:rPr>
              <w:t>)</w:t>
            </w:r>
          </w:p>
        </w:tc>
        <w:tc>
          <w:tcPr>
            <w:tcW w:w="1800" w:type="dxa"/>
            <w:tcBorders>
              <w:top w:val="single" w:sz="4" w:space="0" w:color="auto"/>
              <w:left w:val="nil"/>
              <w:bottom w:val="single" w:sz="8" w:space="0" w:color="auto"/>
              <w:right w:val="nil"/>
            </w:tcBorders>
            <w:shd w:val="clear" w:color="000000" w:fill="FFFFFF"/>
            <w:noWrap/>
            <w:vAlign w:val="bottom"/>
            <w:hideMark/>
          </w:tcPr>
          <w:p w14:paraId="3EAE54F7" w14:textId="77777777" w:rsidR="003E6C8B" w:rsidRPr="003E6C8B" w:rsidRDefault="003E6C8B" w:rsidP="003E6C8B">
            <w:pPr>
              <w:spacing w:after="0" w:line="240" w:lineRule="auto"/>
              <w:rPr>
                <w:rFonts w:ascii="Calibri" w:eastAsia="Times New Roman" w:hAnsi="Calibri" w:cs="Calibri"/>
                <w:color w:val="000000"/>
                <w:sz w:val="18"/>
                <w:szCs w:val="18"/>
              </w:rPr>
            </w:pPr>
            <w:r w:rsidRPr="003E6C8B">
              <w:rPr>
                <w:rFonts w:ascii="Calibri" w:eastAsia="Times New Roman" w:hAnsi="Calibri" w:cs="Calibri"/>
                <w:color w:val="000000"/>
                <w:sz w:val="18"/>
                <w:szCs w:val="18"/>
              </w:rPr>
              <w:t>Vunna QALY (Bas)</w:t>
            </w:r>
          </w:p>
        </w:tc>
        <w:tc>
          <w:tcPr>
            <w:tcW w:w="1960" w:type="dxa"/>
            <w:tcBorders>
              <w:top w:val="single" w:sz="4" w:space="0" w:color="auto"/>
              <w:left w:val="nil"/>
              <w:bottom w:val="single" w:sz="8" w:space="0" w:color="auto"/>
              <w:right w:val="nil"/>
            </w:tcBorders>
            <w:shd w:val="clear" w:color="000000" w:fill="FFFFFF"/>
            <w:noWrap/>
            <w:vAlign w:val="bottom"/>
            <w:hideMark/>
          </w:tcPr>
          <w:p w14:paraId="40FE4AB7" w14:textId="77777777" w:rsidR="003E6C8B" w:rsidRPr="003E6C8B" w:rsidRDefault="00497AE3" w:rsidP="003E6C8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Vunna QALY (Bä</w:t>
            </w:r>
            <w:r w:rsidR="003E6C8B" w:rsidRPr="003E6C8B">
              <w:rPr>
                <w:rFonts w:ascii="Calibri" w:eastAsia="Times New Roman" w:hAnsi="Calibri" w:cs="Calibri"/>
                <w:color w:val="000000"/>
                <w:sz w:val="18"/>
                <w:szCs w:val="18"/>
              </w:rPr>
              <w:t>st)</w:t>
            </w:r>
          </w:p>
        </w:tc>
      </w:tr>
      <w:tr w:rsidR="003E6C8B" w:rsidRPr="003E6C8B" w14:paraId="0758AA4A" w14:textId="77777777" w:rsidTr="003E6C8B">
        <w:trPr>
          <w:trHeight w:val="285"/>
        </w:trPr>
        <w:tc>
          <w:tcPr>
            <w:tcW w:w="3220" w:type="dxa"/>
            <w:tcBorders>
              <w:top w:val="nil"/>
              <w:left w:val="nil"/>
              <w:bottom w:val="nil"/>
              <w:right w:val="nil"/>
            </w:tcBorders>
            <w:shd w:val="clear" w:color="000000" w:fill="FFFFFF"/>
            <w:noWrap/>
            <w:vAlign w:val="bottom"/>
            <w:hideMark/>
          </w:tcPr>
          <w:p w14:paraId="6FA1C9DA" w14:textId="77777777" w:rsidR="003E6C8B" w:rsidRPr="003E6C8B" w:rsidRDefault="003E6C8B" w:rsidP="003E6C8B">
            <w:pPr>
              <w:spacing w:after="0" w:line="240" w:lineRule="auto"/>
              <w:rPr>
                <w:rFonts w:ascii="Calibri" w:eastAsia="Times New Roman" w:hAnsi="Calibri" w:cs="Calibri"/>
                <w:b/>
                <w:bCs/>
                <w:color w:val="000000"/>
                <w:sz w:val="18"/>
                <w:szCs w:val="18"/>
              </w:rPr>
            </w:pPr>
            <w:r w:rsidRPr="003E6C8B">
              <w:rPr>
                <w:rFonts w:ascii="Calibri" w:eastAsia="Times New Roman" w:hAnsi="Calibri" w:cs="Calibri"/>
                <w:b/>
                <w:bCs/>
                <w:color w:val="000000"/>
                <w:sz w:val="18"/>
                <w:szCs w:val="18"/>
              </w:rPr>
              <w:t>Behandling2 - Behandling 1</w:t>
            </w:r>
            <w:r>
              <w:rPr>
                <w:rFonts w:ascii="Calibri" w:eastAsia="Times New Roman" w:hAnsi="Calibri" w:cs="Calibri"/>
                <w:b/>
                <w:bCs/>
                <w:color w:val="000000"/>
                <w:sz w:val="18"/>
                <w:szCs w:val="18"/>
              </w:rPr>
              <w:t>,</w:t>
            </w:r>
            <w:r w:rsidRPr="003E6C8B">
              <w:rPr>
                <w:rFonts w:ascii="Calibri" w:eastAsia="Times New Roman" w:hAnsi="Calibri" w:cs="Calibri"/>
                <w:b/>
                <w:bCs/>
                <w:color w:val="000000"/>
                <w:sz w:val="18"/>
                <w:szCs w:val="18"/>
              </w:rPr>
              <w:t xml:space="preserve"> år 0</w:t>
            </w:r>
          </w:p>
        </w:tc>
        <w:tc>
          <w:tcPr>
            <w:tcW w:w="1960" w:type="dxa"/>
            <w:tcBorders>
              <w:top w:val="nil"/>
              <w:left w:val="nil"/>
              <w:bottom w:val="nil"/>
              <w:right w:val="nil"/>
            </w:tcBorders>
            <w:shd w:val="clear" w:color="000000" w:fill="FFFFFF"/>
            <w:noWrap/>
            <w:vAlign w:val="bottom"/>
            <w:hideMark/>
          </w:tcPr>
          <w:p w14:paraId="2CC9A59C"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129</w:t>
            </w:r>
          </w:p>
        </w:tc>
        <w:tc>
          <w:tcPr>
            <w:tcW w:w="1800" w:type="dxa"/>
            <w:tcBorders>
              <w:top w:val="nil"/>
              <w:left w:val="nil"/>
              <w:bottom w:val="nil"/>
              <w:right w:val="nil"/>
            </w:tcBorders>
            <w:shd w:val="clear" w:color="000000" w:fill="FFFFFF"/>
            <w:noWrap/>
            <w:vAlign w:val="bottom"/>
            <w:hideMark/>
          </w:tcPr>
          <w:p w14:paraId="4EE31D6C"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92</w:t>
            </w:r>
          </w:p>
        </w:tc>
        <w:tc>
          <w:tcPr>
            <w:tcW w:w="1960" w:type="dxa"/>
            <w:tcBorders>
              <w:top w:val="nil"/>
              <w:left w:val="nil"/>
              <w:bottom w:val="nil"/>
              <w:right w:val="nil"/>
            </w:tcBorders>
            <w:shd w:val="clear" w:color="000000" w:fill="FFFFFF"/>
            <w:noWrap/>
            <w:vAlign w:val="bottom"/>
            <w:hideMark/>
          </w:tcPr>
          <w:p w14:paraId="79ECAA92"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67</w:t>
            </w:r>
          </w:p>
        </w:tc>
      </w:tr>
      <w:tr w:rsidR="003E6C8B" w:rsidRPr="003E6C8B" w14:paraId="109E05FB" w14:textId="77777777" w:rsidTr="003E6C8B">
        <w:trPr>
          <w:trHeight w:val="285"/>
        </w:trPr>
        <w:tc>
          <w:tcPr>
            <w:tcW w:w="3220" w:type="dxa"/>
            <w:tcBorders>
              <w:top w:val="nil"/>
              <w:left w:val="nil"/>
              <w:bottom w:val="nil"/>
              <w:right w:val="nil"/>
            </w:tcBorders>
            <w:shd w:val="clear" w:color="000000" w:fill="FFFFFF"/>
            <w:noWrap/>
            <w:vAlign w:val="bottom"/>
            <w:hideMark/>
          </w:tcPr>
          <w:p w14:paraId="6F89871C" w14:textId="77777777" w:rsidR="003E6C8B" w:rsidRPr="003E6C8B" w:rsidRDefault="003E6C8B" w:rsidP="003E6C8B">
            <w:pPr>
              <w:spacing w:after="0" w:line="240" w:lineRule="auto"/>
              <w:rPr>
                <w:rFonts w:ascii="Calibri" w:eastAsia="Times New Roman" w:hAnsi="Calibri" w:cs="Calibri"/>
                <w:b/>
                <w:bCs/>
                <w:color w:val="000000"/>
                <w:sz w:val="18"/>
                <w:szCs w:val="18"/>
              </w:rPr>
            </w:pPr>
            <w:r w:rsidRPr="003E6C8B">
              <w:rPr>
                <w:rFonts w:ascii="Calibri" w:eastAsia="Times New Roman" w:hAnsi="Calibri" w:cs="Calibri"/>
                <w:b/>
                <w:bCs/>
                <w:color w:val="000000"/>
                <w:sz w:val="18"/>
                <w:szCs w:val="18"/>
              </w:rPr>
              <w:t>Behandling2 - Behandling 1</w:t>
            </w:r>
            <w:r>
              <w:rPr>
                <w:rFonts w:ascii="Calibri" w:eastAsia="Times New Roman" w:hAnsi="Calibri" w:cs="Calibri"/>
                <w:b/>
                <w:bCs/>
                <w:color w:val="000000"/>
                <w:sz w:val="18"/>
                <w:szCs w:val="18"/>
              </w:rPr>
              <w:t>,</w:t>
            </w:r>
            <w:r w:rsidRPr="003E6C8B">
              <w:rPr>
                <w:rFonts w:ascii="Calibri" w:eastAsia="Times New Roman" w:hAnsi="Calibri" w:cs="Calibri"/>
                <w:b/>
                <w:bCs/>
                <w:color w:val="000000"/>
                <w:sz w:val="18"/>
                <w:szCs w:val="18"/>
              </w:rPr>
              <w:t xml:space="preserve"> år 1</w:t>
            </w:r>
          </w:p>
        </w:tc>
        <w:tc>
          <w:tcPr>
            <w:tcW w:w="1960" w:type="dxa"/>
            <w:tcBorders>
              <w:top w:val="nil"/>
              <w:left w:val="nil"/>
              <w:bottom w:val="nil"/>
              <w:right w:val="nil"/>
            </w:tcBorders>
            <w:shd w:val="clear" w:color="000000" w:fill="FFFFFF"/>
            <w:noWrap/>
            <w:vAlign w:val="bottom"/>
            <w:hideMark/>
          </w:tcPr>
          <w:p w14:paraId="0A114026"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140</w:t>
            </w:r>
          </w:p>
        </w:tc>
        <w:tc>
          <w:tcPr>
            <w:tcW w:w="1800" w:type="dxa"/>
            <w:tcBorders>
              <w:top w:val="nil"/>
              <w:left w:val="nil"/>
              <w:bottom w:val="nil"/>
              <w:right w:val="nil"/>
            </w:tcBorders>
            <w:shd w:val="clear" w:color="000000" w:fill="FFFFFF"/>
            <w:noWrap/>
            <w:vAlign w:val="bottom"/>
            <w:hideMark/>
          </w:tcPr>
          <w:p w14:paraId="52D6B8C3"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112</w:t>
            </w:r>
          </w:p>
        </w:tc>
        <w:tc>
          <w:tcPr>
            <w:tcW w:w="1960" w:type="dxa"/>
            <w:tcBorders>
              <w:top w:val="nil"/>
              <w:left w:val="nil"/>
              <w:bottom w:val="nil"/>
              <w:right w:val="nil"/>
            </w:tcBorders>
            <w:shd w:val="clear" w:color="000000" w:fill="FFFFFF"/>
            <w:noWrap/>
            <w:vAlign w:val="bottom"/>
            <w:hideMark/>
          </w:tcPr>
          <w:p w14:paraId="127AEB35"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94</w:t>
            </w:r>
          </w:p>
        </w:tc>
      </w:tr>
      <w:tr w:rsidR="003E6C8B" w:rsidRPr="003E6C8B" w14:paraId="4A789452" w14:textId="77777777" w:rsidTr="003E6C8B">
        <w:trPr>
          <w:trHeight w:val="285"/>
        </w:trPr>
        <w:tc>
          <w:tcPr>
            <w:tcW w:w="3220" w:type="dxa"/>
            <w:tcBorders>
              <w:top w:val="nil"/>
              <w:left w:val="nil"/>
              <w:bottom w:val="nil"/>
              <w:right w:val="nil"/>
            </w:tcBorders>
            <w:shd w:val="clear" w:color="000000" w:fill="FFFFFF"/>
            <w:noWrap/>
            <w:vAlign w:val="bottom"/>
            <w:hideMark/>
          </w:tcPr>
          <w:p w14:paraId="19582ABA" w14:textId="77777777" w:rsidR="003E6C8B" w:rsidRPr="003E6C8B" w:rsidRDefault="003E6C8B" w:rsidP="003E6C8B">
            <w:pPr>
              <w:spacing w:after="0" w:line="240" w:lineRule="auto"/>
              <w:rPr>
                <w:rFonts w:ascii="Calibri" w:eastAsia="Times New Roman" w:hAnsi="Calibri" w:cs="Calibri"/>
                <w:b/>
                <w:bCs/>
                <w:color w:val="000000"/>
                <w:sz w:val="18"/>
                <w:szCs w:val="18"/>
              </w:rPr>
            </w:pPr>
            <w:r w:rsidRPr="003E6C8B">
              <w:rPr>
                <w:rFonts w:ascii="Calibri" w:eastAsia="Times New Roman" w:hAnsi="Calibri" w:cs="Calibri"/>
                <w:b/>
                <w:bCs/>
                <w:color w:val="000000"/>
                <w:sz w:val="18"/>
                <w:szCs w:val="18"/>
              </w:rPr>
              <w:t>Behandling2 - Behandling 1</w:t>
            </w:r>
            <w:r>
              <w:rPr>
                <w:rFonts w:ascii="Calibri" w:eastAsia="Times New Roman" w:hAnsi="Calibri" w:cs="Calibri"/>
                <w:b/>
                <w:bCs/>
                <w:color w:val="000000"/>
                <w:sz w:val="18"/>
                <w:szCs w:val="18"/>
              </w:rPr>
              <w:t>,</w:t>
            </w:r>
            <w:r w:rsidRPr="003E6C8B">
              <w:rPr>
                <w:rFonts w:ascii="Calibri" w:eastAsia="Times New Roman" w:hAnsi="Calibri" w:cs="Calibri"/>
                <w:b/>
                <w:bCs/>
                <w:color w:val="000000"/>
                <w:sz w:val="18"/>
                <w:szCs w:val="18"/>
              </w:rPr>
              <w:t xml:space="preserve"> år 2</w:t>
            </w:r>
          </w:p>
        </w:tc>
        <w:tc>
          <w:tcPr>
            <w:tcW w:w="1960" w:type="dxa"/>
            <w:tcBorders>
              <w:top w:val="nil"/>
              <w:left w:val="nil"/>
              <w:bottom w:val="nil"/>
              <w:right w:val="nil"/>
            </w:tcBorders>
            <w:shd w:val="clear" w:color="000000" w:fill="FFFFFF"/>
            <w:noWrap/>
            <w:vAlign w:val="bottom"/>
            <w:hideMark/>
          </w:tcPr>
          <w:p w14:paraId="666BF26A"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153</w:t>
            </w:r>
          </w:p>
        </w:tc>
        <w:tc>
          <w:tcPr>
            <w:tcW w:w="1800" w:type="dxa"/>
            <w:tcBorders>
              <w:top w:val="nil"/>
              <w:left w:val="nil"/>
              <w:bottom w:val="nil"/>
              <w:right w:val="nil"/>
            </w:tcBorders>
            <w:shd w:val="clear" w:color="000000" w:fill="FFFFFF"/>
            <w:noWrap/>
            <w:vAlign w:val="bottom"/>
            <w:hideMark/>
          </w:tcPr>
          <w:p w14:paraId="563FCC56"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137</w:t>
            </w:r>
          </w:p>
        </w:tc>
        <w:tc>
          <w:tcPr>
            <w:tcW w:w="1960" w:type="dxa"/>
            <w:tcBorders>
              <w:top w:val="nil"/>
              <w:left w:val="nil"/>
              <w:bottom w:val="nil"/>
              <w:right w:val="nil"/>
            </w:tcBorders>
            <w:shd w:val="clear" w:color="000000" w:fill="FFFFFF"/>
            <w:noWrap/>
            <w:vAlign w:val="bottom"/>
            <w:hideMark/>
          </w:tcPr>
          <w:p w14:paraId="688ED46F"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129</w:t>
            </w:r>
          </w:p>
        </w:tc>
      </w:tr>
      <w:tr w:rsidR="003E6C8B" w:rsidRPr="003E6C8B" w14:paraId="2709C1B9" w14:textId="77777777" w:rsidTr="003E6C8B">
        <w:trPr>
          <w:trHeight w:val="285"/>
        </w:trPr>
        <w:tc>
          <w:tcPr>
            <w:tcW w:w="3220" w:type="dxa"/>
            <w:tcBorders>
              <w:top w:val="nil"/>
              <w:left w:val="nil"/>
              <w:bottom w:val="nil"/>
              <w:right w:val="nil"/>
            </w:tcBorders>
            <w:shd w:val="clear" w:color="000000" w:fill="FFFFFF"/>
            <w:noWrap/>
            <w:vAlign w:val="bottom"/>
            <w:hideMark/>
          </w:tcPr>
          <w:p w14:paraId="0EDEDA25" w14:textId="77777777" w:rsidR="003E6C8B" w:rsidRPr="003E6C8B" w:rsidRDefault="003E6C8B" w:rsidP="003E6C8B">
            <w:pPr>
              <w:spacing w:after="0" w:line="240" w:lineRule="auto"/>
              <w:rPr>
                <w:rFonts w:ascii="Calibri" w:eastAsia="Times New Roman" w:hAnsi="Calibri" w:cs="Calibri"/>
                <w:b/>
                <w:bCs/>
                <w:color w:val="000000"/>
                <w:sz w:val="18"/>
                <w:szCs w:val="18"/>
              </w:rPr>
            </w:pPr>
            <w:r w:rsidRPr="003E6C8B">
              <w:rPr>
                <w:rFonts w:ascii="Calibri" w:eastAsia="Times New Roman" w:hAnsi="Calibri" w:cs="Calibri"/>
                <w:b/>
                <w:bCs/>
                <w:color w:val="000000"/>
                <w:sz w:val="18"/>
                <w:szCs w:val="18"/>
              </w:rPr>
              <w:t>Behandling2 - Behandling 1</w:t>
            </w:r>
            <w:r>
              <w:rPr>
                <w:rFonts w:ascii="Calibri" w:eastAsia="Times New Roman" w:hAnsi="Calibri" w:cs="Calibri"/>
                <w:b/>
                <w:bCs/>
                <w:color w:val="000000"/>
                <w:sz w:val="18"/>
                <w:szCs w:val="18"/>
              </w:rPr>
              <w:t>,</w:t>
            </w:r>
            <w:r w:rsidRPr="003E6C8B">
              <w:rPr>
                <w:rFonts w:ascii="Calibri" w:eastAsia="Times New Roman" w:hAnsi="Calibri" w:cs="Calibri"/>
                <w:b/>
                <w:bCs/>
                <w:color w:val="000000"/>
                <w:sz w:val="18"/>
                <w:szCs w:val="18"/>
              </w:rPr>
              <w:t xml:space="preserve"> år 5</w:t>
            </w:r>
          </w:p>
        </w:tc>
        <w:tc>
          <w:tcPr>
            <w:tcW w:w="1960" w:type="dxa"/>
            <w:tcBorders>
              <w:top w:val="nil"/>
              <w:left w:val="nil"/>
              <w:bottom w:val="nil"/>
              <w:right w:val="nil"/>
            </w:tcBorders>
            <w:shd w:val="clear" w:color="000000" w:fill="FFFFFF"/>
            <w:noWrap/>
            <w:vAlign w:val="bottom"/>
            <w:hideMark/>
          </w:tcPr>
          <w:p w14:paraId="16637471"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150</w:t>
            </w:r>
          </w:p>
        </w:tc>
        <w:tc>
          <w:tcPr>
            <w:tcW w:w="1800" w:type="dxa"/>
            <w:tcBorders>
              <w:top w:val="nil"/>
              <w:left w:val="nil"/>
              <w:bottom w:val="nil"/>
              <w:right w:val="nil"/>
            </w:tcBorders>
            <w:shd w:val="clear" w:color="000000" w:fill="FFFFFF"/>
            <w:noWrap/>
            <w:vAlign w:val="bottom"/>
            <w:hideMark/>
          </w:tcPr>
          <w:p w14:paraId="0076D2F8"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156</w:t>
            </w:r>
          </w:p>
        </w:tc>
        <w:tc>
          <w:tcPr>
            <w:tcW w:w="1960" w:type="dxa"/>
            <w:tcBorders>
              <w:top w:val="nil"/>
              <w:left w:val="nil"/>
              <w:bottom w:val="nil"/>
              <w:right w:val="nil"/>
            </w:tcBorders>
            <w:shd w:val="clear" w:color="000000" w:fill="FFFFFF"/>
            <w:noWrap/>
            <w:vAlign w:val="bottom"/>
            <w:hideMark/>
          </w:tcPr>
          <w:p w14:paraId="6988253F"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177</w:t>
            </w:r>
          </w:p>
        </w:tc>
      </w:tr>
      <w:tr w:rsidR="003E6C8B" w:rsidRPr="003E6C8B" w14:paraId="0FBCF82D" w14:textId="77777777" w:rsidTr="003E6C8B">
        <w:trPr>
          <w:trHeight w:val="293"/>
        </w:trPr>
        <w:tc>
          <w:tcPr>
            <w:tcW w:w="3220" w:type="dxa"/>
            <w:tcBorders>
              <w:top w:val="nil"/>
              <w:left w:val="nil"/>
              <w:bottom w:val="single" w:sz="8" w:space="0" w:color="auto"/>
              <w:right w:val="nil"/>
            </w:tcBorders>
            <w:shd w:val="clear" w:color="000000" w:fill="FFFFFF"/>
            <w:noWrap/>
            <w:vAlign w:val="bottom"/>
            <w:hideMark/>
          </w:tcPr>
          <w:p w14:paraId="3C59A15C" w14:textId="77777777" w:rsidR="003E6C8B" w:rsidRPr="003E6C8B" w:rsidRDefault="003E6C8B" w:rsidP="003E6C8B">
            <w:pPr>
              <w:spacing w:after="0" w:line="240" w:lineRule="auto"/>
              <w:rPr>
                <w:rFonts w:ascii="Calibri" w:eastAsia="Times New Roman" w:hAnsi="Calibri" w:cs="Calibri"/>
                <w:b/>
                <w:bCs/>
                <w:color w:val="000000"/>
                <w:sz w:val="18"/>
                <w:szCs w:val="18"/>
              </w:rPr>
            </w:pPr>
            <w:r w:rsidRPr="003E6C8B">
              <w:rPr>
                <w:rFonts w:ascii="Calibri" w:eastAsia="Times New Roman" w:hAnsi="Calibri" w:cs="Calibri"/>
                <w:b/>
                <w:bCs/>
                <w:color w:val="000000"/>
                <w:sz w:val="18"/>
                <w:szCs w:val="18"/>
              </w:rPr>
              <w:t>Behandling2 - Behandling 1</w:t>
            </w:r>
            <w:r>
              <w:rPr>
                <w:rFonts w:ascii="Calibri" w:eastAsia="Times New Roman" w:hAnsi="Calibri" w:cs="Calibri"/>
                <w:b/>
                <w:bCs/>
                <w:color w:val="000000"/>
                <w:sz w:val="18"/>
                <w:szCs w:val="18"/>
              </w:rPr>
              <w:t>,</w:t>
            </w:r>
            <w:r w:rsidRPr="003E6C8B">
              <w:rPr>
                <w:rFonts w:ascii="Calibri" w:eastAsia="Times New Roman" w:hAnsi="Calibri" w:cs="Calibri"/>
                <w:b/>
                <w:bCs/>
                <w:color w:val="000000"/>
                <w:sz w:val="18"/>
                <w:szCs w:val="18"/>
              </w:rPr>
              <w:t xml:space="preserve"> år 10</w:t>
            </w:r>
          </w:p>
        </w:tc>
        <w:tc>
          <w:tcPr>
            <w:tcW w:w="1960" w:type="dxa"/>
            <w:tcBorders>
              <w:top w:val="nil"/>
              <w:left w:val="nil"/>
              <w:bottom w:val="single" w:sz="8" w:space="0" w:color="auto"/>
              <w:right w:val="nil"/>
            </w:tcBorders>
            <w:shd w:val="clear" w:color="000000" w:fill="FFFFFF"/>
            <w:noWrap/>
            <w:vAlign w:val="bottom"/>
            <w:hideMark/>
          </w:tcPr>
          <w:p w14:paraId="55902761"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117</w:t>
            </w:r>
          </w:p>
        </w:tc>
        <w:tc>
          <w:tcPr>
            <w:tcW w:w="1800" w:type="dxa"/>
            <w:tcBorders>
              <w:top w:val="nil"/>
              <w:left w:val="nil"/>
              <w:bottom w:val="single" w:sz="8" w:space="0" w:color="auto"/>
              <w:right w:val="nil"/>
            </w:tcBorders>
            <w:shd w:val="clear" w:color="000000" w:fill="FFFFFF"/>
            <w:noWrap/>
            <w:vAlign w:val="bottom"/>
            <w:hideMark/>
          </w:tcPr>
          <w:p w14:paraId="16438FBB"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145</w:t>
            </w:r>
          </w:p>
        </w:tc>
        <w:tc>
          <w:tcPr>
            <w:tcW w:w="1960" w:type="dxa"/>
            <w:tcBorders>
              <w:top w:val="nil"/>
              <w:left w:val="nil"/>
              <w:bottom w:val="single" w:sz="8" w:space="0" w:color="auto"/>
              <w:right w:val="nil"/>
            </w:tcBorders>
            <w:shd w:val="clear" w:color="000000" w:fill="FFFFFF"/>
            <w:noWrap/>
            <w:vAlign w:val="bottom"/>
            <w:hideMark/>
          </w:tcPr>
          <w:p w14:paraId="38EDA418" w14:textId="77777777" w:rsidR="003E6C8B" w:rsidRPr="003E6C8B" w:rsidRDefault="003E6C8B" w:rsidP="003E6C8B">
            <w:pPr>
              <w:spacing w:after="0" w:line="240" w:lineRule="auto"/>
              <w:jc w:val="right"/>
              <w:rPr>
                <w:rFonts w:ascii="Calibri" w:eastAsia="Times New Roman" w:hAnsi="Calibri" w:cs="Calibri"/>
                <w:color w:val="000000"/>
                <w:sz w:val="18"/>
                <w:szCs w:val="18"/>
              </w:rPr>
            </w:pPr>
            <w:r w:rsidRPr="003E6C8B">
              <w:rPr>
                <w:rFonts w:ascii="Calibri" w:eastAsia="Times New Roman" w:hAnsi="Calibri" w:cs="Calibri"/>
                <w:color w:val="000000"/>
                <w:sz w:val="18"/>
                <w:szCs w:val="18"/>
              </w:rPr>
              <w:t>186</w:t>
            </w:r>
          </w:p>
        </w:tc>
      </w:tr>
    </w:tbl>
    <w:p w14:paraId="5F898673" w14:textId="77777777" w:rsidR="003E6C8B" w:rsidRPr="0047572A" w:rsidRDefault="008269A5" w:rsidP="00A065EA">
      <w:pPr>
        <w:rPr>
          <w:sz w:val="16"/>
          <w:szCs w:val="16"/>
        </w:rPr>
      </w:pPr>
      <w:r w:rsidRPr="008269A5">
        <w:rPr>
          <w:sz w:val="16"/>
          <w:szCs w:val="16"/>
        </w:rPr>
        <w:t xml:space="preserve">Tabell: </w:t>
      </w:r>
      <w:r w:rsidR="0047572A">
        <w:rPr>
          <w:sz w:val="16"/>
          <w:szCs w:val="16"/>
        </w:rPr>
        <w:t xml:space="preserve">Vunna </w:t>
      </w:r>
      <w:r w:rsidR="003A1997">
        <w:rPr>
          <w:sz w:val="16"/>
          <w:szCs w:val="16"/>
        </w:rPr>
        <w:t>QALY:s</w:t>
      </w:r>
      <w:r w:rsidR="0047572A">
        <w:rPr>
          <w:sz w:val="16"/>
          <w:szCs w:val="16"/>
        </w:rPr>
        <w:t xml:space="preserve"> med behandling 2 i tre scenarier som baserar sig på uppskattningar av QLAY för haemodialys, peritonealdialys och transplantation. </w:t>
      </w:r>
      <w:r w:rsidR="003A1997">
        <w:rPr>
          <w:sz w:val="16"/>
          <w:szCs w:val="16"/>
        </w:rPr>
        <w:t xml:space="preserve">Vi beräknar vunna QALY:s för år 0 (transplantationsåret) samt för år 1, år, 2, år 5 och år 10 efter transplantationen. </w:t>
      </w:r>
    </w:p>
    <w:p w14:paraId="39F7DB25" w14:textId="77777777" w:rsidR="003B7F14" w:rsidRDefault="00497AE3" w:rsidP="00A065EA">
      <w:r>
        <w:t xml:space="preserve">Vi har valt att kalla de tre scenarierna ”Bäst”, ”Bas” och ”Sämst” även om siffrorna för de första åren inte följer ett Sämst-Bäst mönster. Skälet för detta är att andelen patienter med HD och PD är mycket större än andelen patienter med någon av transplantationsprocesserna. Detta innebär att de positiva effekterna av transplantation inte är synliga förrän </w:t>
      </w:r>
      <w:r w:rsidR="00F43653">
        <w:t xml:space="preserve">efter </w:t>
      </w:r>
      <w:r>
        <w:t xml:space="preserve">den kraftiga minskningen av patienterna med dialys. Eftersom patientöverlevnaden av dessa patienter är lägre än de transplanterades överlevnad </w:t>
      </w:r>
      <w:r w:rsidR="003B7F14">
        <w:t xml:space="preserve">syns fördelarna med transplantation först när andelen patienter med dialys är mycket lägre. Notera dock att man vinner </w:t>
      </w:r>
      <w:r w:rsidR="003A1997">
        <w:t>QALY:s</w:t>
      </w:r>
      <w:r w:rsidR="003B7F14">
        <w:t xml:space="preserve"> i alla scenarier från år 0. </w:t>
      </w:r>
    </w:p>
    <w:p w14:paraId="749EED76" w14:textId="334F6CC4" w:rsidR="00497AE3" w:rsidRDefault="003B7F14" w:rsidP="00A065EA">
      <w:r>
        <w:t>Kostnaderna av behandlingarna 1 och 2 beräknas i varje steg i modellen. Detta innebär att vi kan beräkna kostnaden för var</w:t>
      </w:r>
      <w:r w:rsidR="008269A5">
        <w:t>je vunnen QALY för varje mätår.</w:t>
      </w:r>
      <w:r w:rsidR="00497AE3">
        <w:t xml:space="preserve"> </w:t>
      </w:r>
      <w:r>
        <w:t xml:space="preserve">Samtliga kostnader är inräknade och ett tillägg för DCD-processens kostnader före transplantation görs år 0 för gruppen som ingång i denna process. Vi tar givetvis hänsyn till att processerna kan ta olika </w:t>
      </w:r>
      <w:r w:rsidR="00F43653">
        <w:t xml:space="preserve">lång tid </w:t>
      </w:r>
      <w:r>
        <w:t xml:space="preserve">att genomföra. </w:t>
      </w:r>
      <w:r w:rsidR="009330B7">
        <w:t xml:space="preserve">Givet de höga kostnaderna för dialys </w:t>
      </w:r>
      <w:r w:rsidR="008269A5">
        <w:t>och det stora antalet patienter i denna behandlingsform</w:t>
      </w:r>
      <w:r w:rsidR="00F43653">
        <w:t>,</w:t>
      </w:r>
      <w:r w:rsidR="008269A5">
        <w:t xml:space="preserve"> kan det noteras att pre-transplantationskostnaderna </w:t>
      </w:r>
      <w:r w:rsidR="00F43653">
        <w:t xml:space="preserve">knappast </w:t>
      </w:r>
      <w:r w:rsidR="008269A5">
        <w:t xml:space="preserve">påverkar utfallet. </w:t>
      </w:r>
    </w:p>
    <w:p w14:paraId="1008AB9A" w14:textId="77777777" w:rsidR="00815C5C" w:rsidRDefault="00815C5C" w:rsidP="00A065EA">
      <w:r>
        <w:t xml:space="preserve">Som vi nämnde i inledningen av denna rapport har vi valt att göra två modeller. Den ena som endast innehåller behandlingskostnaderna medan den andra även tar hänsyn till alla sjukvårdskostnader associerade till diagnosen. Vi redovisar båda resultaten. Notera att detta endast påverkar kostnaden per vunnen QALY och inte antalet vunna QALY.  </w:t>
      </w:r>
    </w:p>
    <w:tbl>
      <w:tblPr>
        <w:tblW w:w="8631" w:type="dxa"/>
        <w:jc w:val="center"/>
        <w:tblCellMar>
          <w:left w:w="70" w:type="dxa"/>
          <w:right w:w="70" w:type="dxa"/>
        </w:tblCellMar>
        <w:tblLook w:val="04A0" w:firstRow="1" w:lastRow="0" w:firstColumn="1" w:lastColumn="0" w:noHBand="0" w:noVBand="1"/>
      </w:tblPr>
      <w:tblGrid>
        <w:gridCol w:w="1560"/>
        <w:gridCol w:w="1842"/>
        <w:gridCol w:w="2977"/>
        <w:gridCol w:w="2252"/>
      </w:tblGrid>
      <w:tr w:rsidR="00815C5C" w:rsidRPr="00815C5C" w14:paraId="457BEC97" w14:textId="77777777" w:rsidTr="0000407A">
        <w:trPr>
          <w:trHeight w:val="293"/>
          <w:jc w:val="center"/>
        </w:trPr>
        <w:tc>
          <w:tcPr>
            <w:tcW w:w="1560" w:type="dxa"/>
            <w:tcBorders>
              <w:top w:val="single" w:sz="4" w:space="0" w:color="auto"/>
              <w:left w:val="nil"/>
              <w:bottom w:val="single" w:sz="8" w:space="0" w:color="auto"/>
              <w:right w:val="nil"/>
            </w:tcBorders>
            <w:shd w:val="clear" w:color="000000" w:fill="FFFFFF"/>
            <w:noWrap/>
            <w:vAlign w:val="bottom"/>
            <w:hideMark/>
          </w:tcPr>
          <w:p w14:paraId="37ABDD6E"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 </w:t>
            </w:r>
          </w:p>
        </w:tc>
        <w:tc>
          <w:tcPr>
            <w:tcW w:w="1842" w:type="dxa"/>
            <w:tcBorders>
              <w:top w:val="single" w:sz="4" w:space="0" w:color="auto"/>
              <w:left w:val="nil"/>
              <w:bottom w:val="single" w:sz="8" w:space="0" w:color="auto"/>
              <w:right w:val="nil"/>
            </w:tcBorders>
            <w:shd w:val="clear" w:color="000000" w:fill="FFFFFF"/>
            <w:noWrap/>
            <w:vAlign w:val="bottom"/>
            <w:hideMark/>
          </w:tcPr>
          <w:p w14:paraId="575A9E6D" w14:textId="77777777" w:rsidR="00815C5C" w:rsidRPr="00815C5C" w:rsidRDefault="00815C5C" w:rsidP="00815C5C">
            <w:pPr>
              <w:spacing w:after="0" w:line="240" w:lineRule="auto"/>
              <w:jc w:val="center"/>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Kostnad/QALY (Sämst)</w:t>
            </w:r>
          </w:p>
        </w:tc>
        <w:tc>
          <w:tcPr>
            <w:tcW w:w="2977" w:type="dxa"/>
            <w:tcBorders>
              <w:top w:val="single" w:sz="4" w:space="0" w:color="auto"/>
              <w:left w:val="nil"/>
              <w:bottom w:val="single" w:sz="8" w:space="0" w:color="auto"/>
              <w:right w:val="nil"/>
            </w:tcBorders>
            <w:shd w:val="clear" w:color="000000" w:fill="FFFFFF"/>
            <w:noWrap/>
            <w:vAlign w:val="bottom"/>
            <w:hideMark/>
          </w:tcPr>
          <w:p w14:paraId="4A7C90CA" w14:textId="77777777" w:rsidR="00815C5C" w:rsidRPr="00815C5C" w:rsidRDefault="00815C5C" w:rsidP="00815C5C">
            <w:pPr>
              <w:spacing w:after="0" w:line="240" w:lineRule="auto"/>
              <w:jc w:val="center"/>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Kostnad/QALY (Bas)</w:t>
            </w:r>
          </w:p>
        </w:tc>
        <w:tc>
          <w:tcPr>
            <w:tcW w:w="2252" w:type="dxa"/>
            <w:tcBorders>
              <w:top w:val="single" w:sz="4" w:space="0" w:color="auto"/>
              <w:left w:val="nil"/>
              <w:bottom w:val="single" w:sz="8" w:space="0" w:color="auto"/>
              <w:right w:val="nil"/>
            </w:tcBorders>
            <w:shd w:val="clear" w:color="000000" w:fill="FFFFFF"/>
            <w:noWrap/>
            <w:vAlign w:val="bottom"/>
            <w:hideMark/>
          </w:tcPr>
          <w:p w14:paraId="27CB8361" w14:textId="77777777" w:rsidR="00815C5C" w:rsidRPr="00815C5C" w:rsidRDefault="00815C5C" w:rsidP="00815C5C">
            <w:pPr>
              <w:spacing w:after="0" w:line="240" w:lineRule="auto"/>
              <w:jc w:val="center"/>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Kostnad/QALY (Bäst)</w:t>
            </w:r>
          </w:p>
        </w:tc>
      </w:tr>
      <w:tr w:rsidR="00815C5C" w:rsidRPr="00815C5C" w14:paraId="627A1E5C" w14:textId="77777777" w:rsidTr="0000407A">
        <w:trPr>
          <w:trHeight w:val="285"/>
          <w:jc w:val="center"/>
        </w:trPr>
        <w:tc>
          <w:tcPr>
            <w:tcW w:w="1560" w:type="dxa"/>
            <w:tcBorders>
              <w:top w:val="nil"/>
              <w:left w:val="nil"/>
              <w:bottom w:val="nil"/>
              <w:right w:val="nil"/>
            </w:tcBorders>
            <w:shd w:val="clear" w:color="000000" w:fill="FFFFFF"/>
            <w:noWrap/>
            <w:vAlign w:val="bottom"/>
            <w:hideMark/>
          </w:tcPr>
          <w:p w14:paraId="3E303A37"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ICER år 0</w:t>
            </w:r>
          </w:p>
        </w:tc>
        <w:tc>
          <w:tcPr>
            <w:tcW w:w="1842" w:type="dxa"/>
            <w:tcBorders>
              <w:top w:val="nil"/>
              <w:left w:val="nil"/>
              <w:bottom w:val="nil"/>
              <w:right w:val="nil"/>
            </w:tcBorders>
            <w:shd w:val="clear" w:color="000000" w:fill="FFFFFF"/>
            <w:noWrap/>
            <w:vAlign w:val="bottom"/>
            <w:hideMark/>
          </w:tcPr>
          <w:p w14:paraId="5B363642"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-305 635</w:t>
            </w:r>
          </w:p>
        </w:tc>
        <w:tc>
          <w:tcPr>
            <w:tcW w:w="2977" w:type="dxa"/>
            <w:tcBorders>
              <w:top w:val="nil"/>
              <w:left w:val="nil"/>
              <w:bottom w:val="nil"/>
              <w:right w:val="nil"/>
            </w:tcBorders>
            <w:shd w:val="clear" w:color="000000" w:fill="FFFFFF"/>
            <w:noWrap/>
            <w:vAlign w:val="bottom"/>
            <w:hideMark/>
          </w:tcPr>
          <w:p w14:paraId="49CC597E"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-426 468</w:t>
            </w:r>
          </w:p>
        </w:tc>
        <w:tc>
          <w:tcPr>
            <w:tcW w:w="2252" w:type="dxa"/>
            <w:tcBorders>
              <w:top w:val="nil"/>
              <w:left w:val="nil"/>
              <w:bottom w:val="nil"/>
              <w:right w:val="nil"/>
            </w:tcBorders>
            <w:shd w:val="clear" w:color="000000" w:fill="FFFFFF"/>
            <w:noWrap/>
            <w:vAlign w:val="bottom"/>
            <w:hideMark/>
          </w:tcPr>
          <w:p w14:paraId="3F92169B"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-591 552</w:t>
            </w:r>
          </w:p>
        </w:tc>
      </w:tr>
      <w:tr w:rsidR="00815C5C" w:rsidRPr="00815C5C" w14:paraId="4615BC4E" w14:textId="77777777" w:rsidTr="0000407A">
        <w:trPr>
          <w:trHeight w:val="285"/>
          <w:jc w:val="center"/>
        </w:trPr>
        <w:tc>
          <w:tcPr>
            <w:tcW w:w="1560" w:type="dxa"/>
            <w:tcBorders>
              <w:top w:val="nil"/>
              <w:left w:val="nil"/>
              <w:bottom w:val="nil"/>
              <w:right w:val="nil"/>
            </w:tcBorders>
            <w:shd w:val="clear" w:color="000000" w:fill="FFFFFF"/>
            <w:noWrap/>
            <w:vAlign w:val="bottom"/>
            <w:hideMark/>
          </w:tcPr>
          <w:p w14:paraId="01EB9867"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ICER år 1</w:t>
            </w:r>
          </w:p>
        </w:tc>
        <w:tc>
          <w:tcPr>
            <w:tcW w:w="1842" w:type="dxa"/>
            <w:tcBorders>
              <w:top w:val="nil"/>
              <w:left w:val="nil"/>
              <w:bottom w:val="nil"/>
              <w:right w:val="nil"/>
            </w:tcBorders>
            <w:shd w:val="clear" w:color="000000" w:fill="FFFFFF"/>
            <w:noWrap/>
            <w:vAlign w:val="bottom"/>
            <w:hideMark/>
          </w:tcPr>
          <w:p w14:paraId="464246E3"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-1 380 442</w:t>
            </w:r>
          </w:p>
        </w:tc>
        <w:tc>
          <w:tcPr>
            <w:tcW w:w="2977" w:type="dxa"/>
            <w:tcBorders>
              <w:top w:val="nil"/>
              <w:left w:val="nil"/>
              <w:bottom w:val="nil"/>
              <w:right w:val="nil"/>
            </w:tcBorders>
            <w:shd w:val="clear" w:color="000000" w:fill="FFFFFF"/>
            <w:noWrap/>
            <w:vAlign w:val="bottom"/>
            <w:hideMark/>
          </w:tcPr>
          <w:p w14:paraId="77A65764"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-1 716 598</w:t>
            </w:r>
          </w:p>
        </w:tc>
        <w:tc>
          <w:tcPr>
            <w:tcW w:w="2252" w:type="dxa"/>
            <w:tcBorders>
              <w:top w:val="nil"/>
              <w:left w:val="nil"/>
              <w:bottom w:val="nil"/>
              <w:right w:val="nil"/>
            </w:tcBorders>
            <w:shd w:val="clear" w:color="000000" w:fill="FFFFFF"/>
            <w:noWrap/>
            <w:vAlign w:val="bottom"/>
            <w:hideMark/>
          </w:tcPr>
          <w:p w14:paraId="4373A1DF"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-2 046 352</w:t>
            </w:r>
          </w:p>
        </w:tc>
      </w:tr>
      <w:tr w:rsidR="00815C5C" w:rsidRPr="00815C5C" w14:paraId="687EEC7D" w14:textId="77777777" w:rsidTr="0000407A">
        <w:trPr>
          <w:trHeight w:val="285"/>
          <w:jc w:val="center"/>
        </w:trPr>
        <w:tc>
          <w:tcPr>
            <w:tcW w:w="1560" w:type="dxa"/>
            <w:tcBorders>
              <w:top w:val="nil"/>
              <w:left w:val="nil"/>
              <w:bottom w:val="nil"/>
              <w:right w:val="nil"/>
            </w:tcBorders>
            <w:shd w:val="clear" w:color="000000" w:fill="FFFFFF"/>
            <w:noWrap/>
            <w:vAlign w:val="bottom"/>
            <w:hideMark/>
          </w:tcPr>
          <w:p w14:paraId="4AE5E370"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ICER år 2</w:t>
            </w:r>
          </w:p>
        </w:tc>
        <w:tc>
          <w:tcPr>
            <w:tcW w:w="1842" w:type="dxa"/>
            <w:tcBorders>
              <w:top w:val="nil"/>
              <w:left w:val="nil"/>
              <w:bottom w:val="nil"/>
              <w:right w:val="nil"/>
            </w:tcBorders>
            <w:shd w:val="clear" w:color="000000" w:fill="FFFFFF"/>
            <w:noWrap/>
            <w:vAlign w:val="bottom"/>
            <w:hideMark/>
          </w:tcPr>
          <w:p w14:paraId="70531720"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-1 046 343</w:t>
            </w:r>
          </w:p>
        </w:tc>
        <w:tc>
          <w:tcPr>
            <w:tcW w:w="2977" w:type="dxa"/>
            <w:tcBorders>
              <w:top w:val="nil"/>
              <w:left w:val="nil"/>
              <w:bottom w:val="nil"/>
              <w:right w:val="nil"/>
            </w:tcBorders>
            <w:shd w:val="clear" w:color="000000" w:fill="FFFFFF"/>
            <w:noWrap/>
            <w:vAlign w:val="bottom"/>
            <w:hideMark/>
          </w:tcPr>
          <w:p w14:paraId="3EAB25DB"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-1 169 802</w:t>
            </w:r>
          </w:p>
        </w:tc>
        <w:tc>
          <w:tcPr>
            <w:tcW w:w="2252" w:type="dxa"/>
            <w:tcBorders>
              <w:top w:val="nil"/>
              <w:left w:val="nil"/>
              <w:bottom w:val="nil"/>
              <w:right w:val="nil"/>
            </w:tcBorders>
            <w:shd w:val="clear" w:color="000000" w:fill="FFFFFF"/>
            <w:noWrap/>
            <w:vAlign w:val="bottom"/>
            <w:hideMark/>
          </w:tcPr>
          <w:p w14:paraId="46D80685"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-1 239 908</w:t>
            </w:r>
          </w:p>
        </w:tc>
      </w:tr>
      <w:tr w:rsidR="00815C5C" w:rsidRPr="00815C5C" w14:paraId="535660FA" w14:textId="77777777" w:rsidTr="0000407A">
        <w:trPr>
          <w:trHeight w:val="285"/>
          <w:jc w:val="center"/>
        </w:trPr>
        <w:tc>
          <w:tcPr>
            <w:tcW w:w="1560" w:type="dxa"/>
            <w:tcBorders>
              <w:top w:val="nil"/>
              <w:left w:val="nil"/>
              <w:bottom w:val="nil"/>
              <w:right w:val="nil"/>
            </w:tcBorders>
            <w:shd w:val="clear" w:color="000000" w:fill="FFFFFF"/>
            <w:noWrap/>
            <w:vAlign w:val="bottom"/>
            <w:hideMark/>
          </w:tcPr>
          <w:p w14:paraId="68435EE2"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ICER år 5</w:t>
            </w:r>
          </w:p>
        </w:tc>
        <w:tc>
          <w:tcPr>
            <w:tcW w:w="1842" w:type="dxa"/>
            <w:tcBorders>
              <w:top w:val="nil"/>
              <w:left w:val="nil"/>
              <w:bottom w:val="nil"/>
              <w:right w:val="nil"/>
            </w:tcBorders>
            <w:shd w:val="clear" w:color="000000" w:fill="FFFFFF"/>
            <w:noWrap/>
            <w:vAlign w:val="bottom"/>
            <w:hideMark/>
          </w:tcPr>
          <w:p w14:paraId="7B9BFE62"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-604 520</w:t>
            </w:r>
          </w:p>
        </w:tc>
        <w:tc>
          <w:tcPr>
            <w:tcW w:w="2977" w:type="dxa"/>
            <w:tcBorders>
              <w:top w:val="nil"/>
              <w:left w:val="nil"/>
              <w:bottom w:val="nil"/>
              <w:right w:val="nil"/>
            </w:tcBorders>
            <w:shd w:val="clear" w:color="000000" w:fill="FFFFFF"/>
            <w:noWrap/>
            <w:vAlign w:val="bottom"/>
            <w:hideMark/>
          </w:tcPr>
          <w:p w14:paraId="2A7AE03A"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-580 774</w:t>
            </w:r>
          </w:p>
        </w:tc>
        <w:tc>
          <w:tcPr>
            <w:tcW w:w="2252" w:type="dxa"/>
            <w:tcBorders>
              <w:top w:val="nil"/>
              <w:left w:val="nil"/>
              <w:bottom w:val="nil"/>
              <w:right w:val="nil"/>
            </w:tcBorders>
            <w:shd w:val="clear" w:color="000000" w:fill="FFFFFF"/>
            <w:noWrap/>
            <w:vAlign w:val="bottom"/>
            <w:hideMark/>
          </w:tcPr>
          <w:p w14:paraId="46F8D6D4"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-511 461</w:t>
            </w:r>
          </w:p>
        </w:tc>
      </w:tr>
      <w:tr w:rsidR="00815C5C" w:rsidRPr="00815C5C" w14:paraId="36531FC1" w14:textId="77777777" w:rsidTr="0000407A">
        <w:trPr>
          <w:trHeight w:val="293"/>
          <w:jc w:val="center"/>
        </w:trPr>
        <w:tc>
          <w:tcPr>
            <w:tcW w:w="1560" w:type="dxa"/>
            <w:tcBorders>
              <w:top w:val="nil"/>
              <w:left w:val="nil"/>
              <w:bottom w:val="single" w:sz="8" w:space="0" w:color="auto"/>
              <w:right w:val="nil"/>
            </w:tcBorders>
            <w:shd w:val="clear" w:color="000000" w:fill="FFFFFF"/>
            <w:noWrap/>
            <w:vAlign w:val="bottom"/>
            <w:hideMark/>
          </w:tcPr>
          <w:p w14:paraId="33D3281E" w14:textId="77777777" w:rsidR="00815C5C" w:rsidRPr="00815C5C" w:rsidRDefault="00815C5C" w:rsidP="00815C5C">
            <w:pPr>
              <w:spacing w:after="0" w:line="240" w:lineRule="auto"/>
              <w:rPr>
                <w:rFonts w:ascii="Calibri" w:eastAsia="Times New Roman" w:hAnsi="Calibri" w:cs="Calibri"/>
                <w:b/>
                <w:bCs/>
                <w:color w:val="000000"/>
                <w:sz w:val="18"/>
                <w:szCs w:val="18"/>
              </w:rPr>
            </w:pPr>
            <w:r w:rsidRPr="00815C5C">
              <w:rPr>
                <w:rFonts w:ascii="Calibri" w:eastAsia="Times New Roman" w:hAnsi="Calibri" w:cs="Calibri"/>
                <w:b/>
                <w:bCs/>
                <w:color w:val="000000"/>
                <w:sz w:val="18"/>
                <w:szCs w:val="18"/>
              </w:rPr>
              <w:t>ICER år 10</w:t>
            </w:r>
          </w:p>
        </w:tc>
        <w:tc>
          <w:tcPr>
            <w:tcW w:w="1842" w:type="dxa"/>
            <w:tcBorders>
              <w:top w:val="nil"/>
              <w:left w:val="nil"/>
              <w:bottom w:val="single" w:sz="8" w:space="0" w:color="auto"/>
              <w:right w:val="nil"/>
            </w:tcBorders>
            <w:shd w:val="clear" w:color="000000" w:fill="FFFFFF"/>
            <w:noWrap/>
            <w:vAlign w:val="bottom"/>
            <w:hideMark/>
          </w:tcPr>
          <w:p w14:paraId="46B6E3CF"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225 079</w:t>
            </w:r>
          </w:p>
        </w:tc>
        <w:tc>
          <w:tcPr>
            <w:tcW w:w="2977" w:type="dxa"/>
            <w:tcBorders>
              <w:top w:val="nil"/>
              <w:left w:val="nil"/>
              <w:bottom w:val="single" w:sz="8" w:space="0" w:color="auto"/>
              <w:right w:val="nil"/>
            </w:tcBorders>
            <w:shd w:val="clear" w:color="000000" w:fill="FFFFFF"/>
            <w:noWrap/>
            <w:vAlign w:val="bottom"/>
            <w:hideMark/>
          </w:tcPr>
          <w:p w14:paraId="714E5F07"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181 561</w:t>
            </w:r>
          </w:p>
        </w:tc>
        <w:tc>
          <w:tcPr>
            <w:tcW w:w="2252" w:type="dxa"/>
            <w:tcBorders>
              <w:top w:val="nil"/>
              <w:left w:val="nil"/>
              <w:bottom w:val="single" w:sz="8" w:space="0" w:color="auto"/>
              <w:right w:val="nil"/>
            </w:tcBorders>
            <w:shd w:val="clear" w:color="000000" w:fill="FFFFFF"/>
            <w:noWrap/>
            <w:vAlign w:val="bottom"/>
            <w:hideMark/>
          </w:tcPr>
          <w:p w14:paraId="66A07FC9" w14:textId="77777777" w:rsidR="00815C5C" w:rsidRPr="00815C5C" w:rsidRDefault="00815C5C" w:rsidP="00815C5C">
            <w:pPr>
              <w:spacing w:after="0" w:line="240" w:lineRule="auto"/>
              <w:jc w:val="center"/>
              <w:rPr>
                <w:rFonts w:ascii="Calibri" w:eastAsia="Times New Roman" w:hAnsi="Calibri" w:cs="Calibri"/>
                <w:color w:val="000000"/>
                <w:sz w:val="18"/>
                <w:szCs w:val="18"/>
              </w:rPr>
            </w:pPr>
            <w:r w:rsidRPr="00815C5C">
              <w:rPr>
                <w:rFonts w:ascii="Calibri" w:eastAsia="Times New Roman" w:hAnsi="Calibri" w:cs="Calibri"/>
                <w:color w:val="000000"/>
                <w:sz w:val="18"/>
                <w:szCs w:val="18"/>
              </w:rPr>
              <w:t>140 989</w:t>
            </w:r>
          </w:p>
        </w:tc>
      </w:tr>
    </w:tbl>
    <w:p w14:paraId="2DF611DF" w14:textId="77777777" w:rsidR="003453BD" w:rsidRDefault="003453BD" w:rsidP="003453BD">
      <w:pPr>
        <w:jc w:val="both"/>
        <w:rPr>
          <w:sz w:val="16"/>
          <w:szCs w:val="16"/>
        </w:rPr>
      </w:pPr>
      <w:r w:rsidRPr="00B956D7">
        <w:rPr>
          <w:sz w:val="16"/>
          <w:szCs w:val="16"/>
        </w:rPr>
        <w:t xml:space="preserve">Tabell: </w:t>
      </w:r>
      <w:r>
        <w:rPr>
          <w:sz w:val="16"/>
          <w:szCs w:val="16"/>
        </w:rPr>
        <w:t xml:space="preserve">kostnader per vunna QALY under tre scenarier och för åren 0 (transplantationsåret), 1, 2, 5, och 10 med samtliga sjukvårdskostnaderna inräknade. Det bästa scenariot är det    scenario för vilket de kumulerade kostnaderna är minst. De motsvarar också de högsta QALY för samtliga behandlingar. </w:t>
      </w:r>
    </w:p>
    <w:p w14:paraId="54185AEC" w14:textId="77777777" w:rsidR="0000407A" w:rsidRPr="0000407A" w:rsidRDefault="0000407A" w:rsidP="00A065EA">
      <w:r>
        <w:t xml:space="preserve">Notera att kostnaderna per QALY för åren 0, 1, 2 och 5 är negativa. Detta betyder alltså att vi observerar en vinst per varje vunnen QALY. Det är endast år 10 som varje vunnen QALY innebär en kostnad. Dock är denna kostnad under den tröskel som anses vara rimlig för att en behandlingskostnad ska accepteras.  </w:t>
      </w:r>
    </w:p>
    <w:p w14:paraId="4564F171" w14:textId="77777777" w:rsidR="003E5512" w:rsidRDefault="003E5512" w:rsidP="00FC099F">
      <w:pPr>
        <w:jc w:val="center"/>
      </w:pPr>
      <w:r>
        <w:rPr>
          <w:noProof/>
          <w:lang w:eastAsia="sv-SE"/>
        </w:rPr>
        <w:drawing>
          <wp:inline distT="0" distB="0" distL="0" distR="0" wp14:anchorId="06F3518F" wp14:editId="3F8C8D60">
            <wp:extent cx="5404061" cy="2695530"/>
            <wp:effectExtent l="0" t="0" r="6350" b="0"/>
            <wp:docPr id="25" name="Chart 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497316-C118-4C2B-8F1C-0E0D28AD5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8F507F" w14:textId="77777777" w:rsidR="00533B0F" w:rsidRPr="00723C56" w:rsidRDefault="00723C56" w:rsidP="00723C56">
      <w:pPr>
        <w:rPr>
          <w:sz w:val="16"/>
          <w:szCs w:val="16"/>
        </w:rPr>
      </w:pPr>
      <w:r w:rsidRPr="00723C56">
        <w:rPr>
          <w:sz w:val="16"/>
          <w:szCs w:val="16"/>
        </w:rPr>
        <w:t xml:space="preserve">Figur: </w:t>
      </w:r>
      <w:r w:rsidR="000D285D">
        <w:rPr>
          <w:sz w:val="16"/>
          <w:szCs w:val="16"/>
        </w:rPr>
        <w:t>Grafen över de beräknade inkrementella kostnadseffektivitetskvoterna för åren 0—10 för de tre scenarierna. I detta fall tas hänsyn till alla sjukvårdskostnaderna för dialyspatienterna.  Vi observerar att kostnaderna är negativa för åren 0—5 vilket innebär vinster per vunna QALY. Det är endast år 10 som kostnader kan o</w:t>
      </w:r>
      <w:r w:rsidR="004F1A6C">
        <w:rPr>
          <w:sz w:val="16"/>
          <w:szCs w:val="16"/>
        </w:rPr>
        <w:t xml:space="preserve">bserveras. Dessa är acceptabla ur ett hälsoekonomiskt perspektiv. </w:t>
      </w:r>
    </w:p>
    <w:p w14:paraId="310FE6D0" w14:textId="77777777" w:rsidR="0000407A" w:rsidRDefault="00AA6D2E" w:rsidP="00723C56">
      <w:r>
        <w:t xml:space="preserve">Om inte sjukvårdskostnaderna tas </w:t>
      </w:r>
      <w:r w:rsidR="00084206">
        <w:t>med i beräkningen är vinsterna per QALY mindre. År 0 överstiger kostnaderna det som anses vara acceptabelt i ett av scenarierna</w:t>
      </w:r>
      <w:r w:rsidR="00F43653">
        <w:t>,</w:t>
      </w:r>
      <w:r w:rsidR="00084206">
        <w:t xml:space="preserve"> men detta beror på transplantationskostnaderna, en engångskostnad som inte kan behandlas som mycket dyra återkommande kostnader. Åren 1, 2 och 5 är förenade med </w:t>
      </w:r>
      <w:r w:rsidR="003A1997">
        <w:t>tydliga</w:t>
      </w:r>
      <w:r w:rsidR="00084206">
        <w:t xml:space="preserve"> vinster medan år 10 innebär acceptabla kostnader i samtliga scenarier.    </w:t>
      </w:r>
    </w:p>
    <w:tbl>
      <w:tblPr>
        <w:tblW w:w="8789" w:type="dxa"/>
        <w:jc w:val="center"/>
        <w:tblCellMar>
          <w:left w:w="70" w:type="dxa"/>
          <w:right w:w="70" w:type="dxa"/>
        </w:tblCellMar>
        <w:tblLook w:val="04A0" w:firstRow="1" w:lastRow="0" w:firstColumn="1" w:lastColumn="0" w:noHBand="0" w:noVBand="1"/>
      </w:tblPr>
      <w:tblGrid>
        <w:gridCol w:w="993"/>
        <w:gridCol w:w="2551"/>
        <w:gridCol w:w="425"/>
        <w:gridCol w:w="2835"/>
        <w:gridCol w:w="1985"/>
      </w:tblGrid>
      <w:tr w:rsidR="00723C56" w:rsidRPr="00723C56" w14:paraId="4D39A08A" w14:textId="77777777" w:rsidTr="003005EF">
        <w:trPr>
          <w:trHeight w:val="293"/>
          <w:jc w:val="center"/>
        </w:trPr>
        <w:tc>
          <w:tcPr>
            <w:tcW w:w="993" w:type="dxa"/>
            <w:tcBorders>
              <w:top w:val="single" w:sz="4" w:space="0" w:color="auto"/>
              <w:left w:val="nil"/>
              <w:bottom w:val="single" w:sz="8" w:space="0" w:color="auto"/>
              <w:right w:val="nil"/>
            </w:tcBorders>
            <w:shd w:val="clear" w:color="000000" w:fill="FFFFFF"/>
            <w:noWrap/>
            <w:vAlign w:val="bottom"/>
            <w:hideMark/>
          </w:tcPr>
          <w:p w14:paraId="4A1688C3"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 </w:t>
            </w:r>
          </w:p>
        </w:tc>
        <w:tc>
          <w:tcPr>
            <w:tcW w:w="2976" w:type="dxa"/>
            <w:gridSpan w:val="2"/>
            <w:tcBorders>
              <w:top w:val="single" w:sz="4" w:space="0" w:color="auto"/>
              <w:left w:val="nil"/>
              <w:bottom w:val="single" w:sz="8" w:space="0" w:color="auto"/>
              <w:right w:val="nil"/>
            </w:tcBorders>
            <w:shd w:val="clear" w:color="000000" w:fill="FFFFFF"/>
            <w:noWrap/>
            <w:vAlign w:val="bottom"/>
            <w:hideMark/>
          </w:tcPr>
          <w:p w14:paraId="5D897A74" w14:textId="77777777" w:rsidR="00723C56" w:rsidRPr="00723C56" w:rsidRDefault="00723C56" w:rsidP="00723C56">
            <w:pPr>
              <w:spacing w:after="0" w:line="240" w:lineRule="auto"/>
              <w:jc w:val="center"/>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Kostnad/QALY (Sämst)</w:t>
            </w:r>
          </w:p>
        </w:tc>
        <w:tc>
          <w:tcPr>
            <w:tcW w:w="2835" w:type="dxa"/>
            <w:tcBorders>
              <w:top w:val="single" w:sz="4" w:space="0" w:color="auto"/>
              <w:left w:val="nil"/>
              <w:bottom w:val="single" w:sz="8" w:space="0" w:color="auto"/>
              <w:right w:val="nil"/>
            </w:tcBorders>
            <w:shd w:val="clear" w:color="000000" w:fill="FFFFFF"/>
            <w:noWrap/>
            <w:vAlign w:val="bottom"/>
            <w:hideMark/>
          </w:tcPr>
          <w:p w14:paraId="7E2B9744" w14:textId="77777777" w:rsidR="00723C56" w:rsidRPr="00723C56" w:rsidRDefault="00723C56" w:rsidP="00723C56">
            <w:pPr>
              <w:spacing w:after="0" w:line="240" w:lineRule="auto"/>
              <w:jc w:val="center"/>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Kostnad/QALY (Bas)</w:t>
            </w:r>
          </w:p>
        </w:tc>
        <w:tc>
          <w:tcPr>
            <w:tcW w:w="1985" w:type="dxa"/>
            <w:tcBorders>
              <w:top w:val="single" w:sz="4" w:space="0" w:color="auto"/>
              <w:left w:val="nil"/>
              <w:bottom w:val="single" w:sz="8" w:space="0" w:color="auto"/>
              <w:right w:val="nil"/>
            </w:tcBorders>
            <w:shd w:val="clear" w:color="000000" w:fill="FFFFFF"/>
            <w:noWrap/>
            <w:vAlign w:val="bottom"/>
            <w:hideMark/>
          </w:tcPr>
          <w:p w14:paraId="695717D1" w14:textId="77777777" w:rsidR="00723C56" w:rsidRPr="00723C56" w:rsidRDefault="00723C56" w:rsidP="003005EF">
            <w:pPr>
              <w:spacing w:after="0" w:line="240" w:lineRule="auto"/>
              <w:jc w:val="center"/>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Kostnad/QALY (Bäst)</w:t>
            </w:r>
          </w:p>
        </w:tc>
      </w:tr>
      <w:tr w:rsidR="003005EF" w:rsidRPr="00723C56" w14:paraId="41379059" w14:textId="77777777" w:rsidTr="003005EF">
        <w:trPr>
          <w:trHeight w:val="285"/>
          <w:jc w:val="center"/>
        </w:trPr>
        <w:tc>
          <w:tcPr>
            <w:tcW w:w="993" w:type="dxa"/>
            <w:tcBorders>
              <w:top w:val="nil"/>
              <w:left w:val="nil"/>
              <w:bottom w:val="nil"/>
              <w:right w:val="nil"/>
            </w:tcBorders>
            <w:shd w:val="clear" w:color="000000" w:fill="FFFFFF"/>
            <w:noWrap/>
            <w:vAlign w:val="bottom"/>
            <w:hideMark/>
          </w:tcPr>
          <w:p w14:paraId="36D0B263"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ICER år 0</w:t>
            </w:r>
          </w:p>
        </w:tc>
        <w:tc>
          <w:tcPr>
            <w:tcW w:w="2551" w:type="dxa"/>
            <w:tcBorders>
              <w:top w:val="nil"/>
              <w:left w:val="nil"/>
              <w:bottom w:val="nil"/>
              <w:right w:val="nil"/>
            </w:tcBorders>
            <w:shd w:val="clear" w:color="000000" w:fill="FFFFFF"/>
            <w:noWrap/>
            <w:vAlign w:val="bottom"/>
            <w:hideMark/>
          </w:tcPr>
          <w:p w14:paraId="7F585B26"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340 565</w:t>
            </w:r>
          </w:p>
        </w:tc>
        <w:tc>
          <w:tcPr>
            <w:tcW w:w="3260" w:type="dxa"/>
            <w:gridSpan w:val="2"/>
            <w:tcBorders>
              <w:top w:val="nil"/>
              <w:left w:val="nil"/>
              <w:bottom w:val="nil"/>
              <w:right w:val="nil"/>
            </w:tcBorders>
            <w:shd w:val="clear" w:color="000000" w:fill="FFFFFF"/>
            <w:noWrap/>
            <w:vAlign w:val="bottom"/>
            <w:hideMark/>
          </w:tcPr>
          <w:p w14:paraId="7BADC32D"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475 207</w:t>
            </w:r>
          </w:p>
        </w:tc>
        <w:tc>
          <w:tcPr>
            <w:tcW w:w="1985" w:type="dxa"/>
            <w:tcBorders>
              <w:top w:val="nil"/>
              <w:left w:val="nil"/>
              <w:bottom w:val="nil"/>
              <w:right w:val="nil"/>
            </w:tcBorders>
            <w:shd w:val="clear" w:color="000000" w:fill="FFFFFF"/>
            <w:noWrap/>
            <w:vAlign w:val="bottom"/>
            <w:hideMark/>
          </w:tcPr>
          <w:p w14:paraId="542597A6" w14:textId="77777777" w:rsidR="00723C56" w:rsidRPr="00723C56" w:rsidRDefault="00723C56" w:rsidP="003005EF">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659 158</w:t>
            </w:r>
          </w:p>
        </w:tc>
      </w:tr>
      <w:tr w:rsidR="003005EF" w:rsidRPr="00723C56" w14:paraId="39ED85B6" w14:textId="77777777" w:rsidTr="003005EF">
        <w:trPr>
          <w:trHeight w:val="285"/>
          <w:jc w:val="center"/>
        </w:trPr>
        <w:tc>
          <w:tcPr>
            <w:tcW w:w="993" w:type="dxa"/>
            <w:tcBorders>
              <w:top w:val="nil"/>
              <w:left w:val="nil"/>
              <w:bottom w:val="nil"/>
              <w:right w:val="nil"/>
            </w:tcBorders>
            <w:shd w:val="clear" w:color="000000" w:fill="FFFFFF"/>
            <w:noWrap/>
            <w:vAlign w:val="bottom"/>
            <w:hideMark/>
          </w:tcPr>
          <w:p w14:paraId="0BA98665"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ICER år 1</w:t>
            </w:r>
          </w:p>
        </w:tc>
        <w:tc>
          <w:tcPr>
            <w:tcW w:w="2551" w:type="dxa"/>
            <w:tcBorders>
              <w:top w:val="nil"/>
              <w:left w:val="nil"/>
              <w:bottom w:val="nil"/>
              <w:right w:val="nil"/>
            </w:tcBorders>
            <w:shd w:val="clear" w:color="000000" w:fill="FFFFFF"/>
            <w:noWrap/>
            <w:vAlign w:val="bottom"/>
            <w:hideMark/>
          </w:tcPr>
          <w:p w14:paraId="01957EED"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-929 993</w:t>
            </w:r>
          </w:p>
        </w:tc>
        <w:tc>
          <w:tcPr>
            <w:tcW w:w="3260" w:type="dxa"/>
            <w:gridSpan w:val="2"/>
            <w:tcBorders>
              <w:top w:val="nil"/>
              <w:left w:val="nil"/>
              <w:bottom w:val="nil"/>
              <w:right w:val="nil"/>
            </w:tcBorders>
            <w:shd w:val="clear" w:color="000000" w:fill="FFFFFF"/>
            <w:noWrap/>
            <w:vAlign w:val="bottom"/>
            <w:hideMark/>
          </w:tcPr>
          <w:p w14:paraId="5F330058"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-1 156 459</w:t>
            </w:r>
          </w:p>
        </w:tc>
        <w:tc>
          <w:tcPr>
            <w:tcW w:w="1985" w:type="dxa"/>
            <w:tcBorders>
              <w:top w:val="nil"/>
              <w:left w:val="nil"/>
              <w:bottom w:val="nil"/>
              <w:right w:val="nil"/>
            </w:tcBorders>
            <w:shd w:val="clear" w:color="000000" w:fill="FFFFFF"/>
            <w:noWrap/>
            <w:vAlign w:val="bottom"/>
            <w:hideMark/>
          </w:tcPr>
          <w:p w14:paraId="42A11D4A" w14:textId="77777777" w:rsidR="00723C56" w:rsidRPr="00723C56" w:rsidRDefault="00723C56" w:rsidP="003005EF">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-1 378 612</w:t>
            </w:r>
          </w:p>
        </w:tc>
      </w:tr>
      <w:tr w:rsidR="003005EF" w:rsidRPr="00723C56" w14:paraId="5841524E" w14:textId="77777777" w:rsidTr="003005EF">
        <w:trPr>
          <w:trHeight w:val="285"/>
          <w:jc w:val="center"/>
        </w:trPr>
        <w:tc>
          <w:tcPr>
            <w:tcW w:w="993" w:type="dxa"/>
            <w:tcBorders>
              <w:top w:val="nil"/>
              <w:left w:val="nil"/>
              <w:bottom w:val="nil"/>
              <w:right w:val="nil"/>
            </w:tcBorders>
            <w:shd w:val="clear" w:color="000000" w:fill="FFFFFF"/>
            <w:noWrap/>
            <w:vAlign w:val="bottom"/>
            <w:hideMark/>
          </w:tcPr>
          <w:p w14:paraId="682F6B2F"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ICER år 2</w:t>
            </w:r>
          </w:p>
        </w:tc>
        <w:tc>
          <w:tcPr>
            <w:tcW w:w="2551" w:type="dxa"/>
            <w:tcBorders>
              <w:top w:val="nil"/>
              <w:left w:val="nil"/>
              <w:bottom w:val="nil"/>
              <w:right w:val="nil"/>
            </w:tcBorders>
            <w:shd w:val="clear" w:color="000000" w:fill="FFFFFF"/>
            <w:noWrap/>
            <w:vAlign w:val="bottom"/>
            <w:hideMark/>
          </w:tcPr>
          <w:p w14:paraId="7E2FE2A1"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-659 138</w:t>
            </w:r>
          </w:p>
        </w:tc>
        <w:tc>
          <w:tcPr>
            <w:tcW w:w="3260" w:type="dxa"/>
            <w:gridSpan w:val="2"/>
            <w:tcBorders>
              <w:top w:val="nil"/>
              <w:left w:val="nil"/>
              <w:bottom w:val="nil"/>
              <w:right w:val="nil"/>
            </w:tcBorders>
            <w:shd w:val="clear" w:color="000000" w:fill="FFFFFF"/>
            <w:noWrap/>
            <w:vAlign w:val="bottom"/>
            <w:hideMark/>
          </w:tcPr>
          <w:p w14:paraId="0E1644A9"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-736 910</w:t>
            </w:r>
          </w:p>
        </w:tc>
        <w:tc>
          <w:tcPr>
            <w:tcW w:w="1985" w:type="dxa"/>
            <w:tcBorders>
              <w:top w:val="nil"/>
              <w:left w:val="nil"/>
              <w:bottom w:val="nil"/>
              <w:right w:val="nil"/>
            </w:tcBorders>
            <w:shd w:val="clear" w:color="000000" w:fill="FFFFFF"/>
            <w:noWrap/>
            <w:vAlign w:val="bottom"/>
            <w:hideMark/>
          </w:tcPr>
          <w:p w14:paraId="0754B8C7" w14:textId="77777777" w:rsidR="00723C56" w:rsidRPr="00723C56" w:rsidRDefault="00723C56" w:rsidP="003005EF">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-781 073</w:t>
            </w:r>
          </w:p>
        </w:tc>
      </w:tr>
      <w:tr w:rsidR="003005EF" w:rsidRPr="00723C56" w14:paraId="0E8473B4" w14:textId="77777777" w:rsidTr="003005EF">
        <w:trPr>
          <w:trHeight w:val="285"/>
          <w:jc w:val="center"/>
        </w:trPr>
        <w:tc>
          <w:tcPr>
            <w:tcW w:w="993" w:type="dxa"/>
            <w:tcBorders>
              <w:top w:val="nil"/>
              <w:left w:val="nil"/>
              <w:bottom w:val="nil"/>
              <w:right w:val="nil"/>
            </w:tcBorders>
            <w:shd w:val="clear" w:color="000000" w:fill="FFFFFF"/>
            <w:noWrap/>
            <w:vAlign w:val="bottom"/>
            <w:hideMark/>
          </w:tcPr>
          <w:p w14:paraId="5CFF5406"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ICER år 5</w:t>
            </w:r>
          </w:p>
        </w:tc>
        <w:tc>
          <w:tcPr>
            <w:tcW w:w="2551" w:type="dxa"/>
            <w:tcBorders>
              <w:top w:val="nil"/>
              <w:left w:val="nil"/>
              <w:bottom w:val="nil"/>
              <w:right w:val="nil"/>
            </w:tcBorders>
            <w:shd w:val="clear" w:color="000000" w:fill="FFFFFF"/>
            <w:noWrap/>
            <w:vAlign w:val="bottom"/>
            <w:hideMark/>
          </w:tcPr>
          <w:p w14:paraId="4A475447"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-280 093</w:t>
            </w:r>
          </w:p>
        </w:tc>
        <w:tc>
          <w:tcPr>
            <w:tcW w:w="3260" w:type="dxa"/>
            <w:gridSpan w:val="2"/>
            <w:tcBorders>
              <w:top w:val="nil"/>
              <w:left w:val="nil"/>
              <w:bottom w:val="nil"/>
              <w:right w:val="nil"/>
            </w:tcBorders>
            <w:shd w:val="clear" w:color="000000" w:fill="FFFFFF"/>
            <w:noWrap/>
            <w:vAlign w:val="bottom"/>
            <w:hideMark/>
          </w:tcPr>
          <w:p w14:paraId="2D79096D"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-269 090</w:t>
            </w:r>
          </w:p>
        </w:tc>
        <w:tc>
          <w:tcPr>
            <w:tcW w:w="1985" w:type="dxa"/>
            <w:tcBorders>
              <w:top w:val="nil"/>
              <w:left w:val="nil"/>
              <w:bottom w:val="nil"/>
              <w:right w:val="nil"/>
            </w:tcBorders>
            <w:shd w:val="clear" w:color="000000" w:fill="FFFFFF"/>
            <w:noWrap/>
            <w:vAlign w:val="bottom"/>
            <w:hideMark/>
          </w:tcPr>
          <w:p w14:paraId="176B6814" w14:textId="77777777" w:rsidR="00723C56" w:rsidRPr="00723C56" w:rsidRDefault="00723C56" w:rsidP="003005EF">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-236 976</w:t>
            </w:r>
          </w:p>
        </w:tc>
      </w:tr>
      <w:tr w:rsidR="003005EF" w:rsidRPr="00723C56" w14:paraId="2DBC8DC6" w14:textId="77777777" w:rsidTr="003005EF">
        <w:trPr>
          <w:trHeight w:val="293"/>
          <w:jc w:val="center"/>
        </w:trPr>
        <w:tc>
          <w:tcPr>
            <w:tcW w:w="993" w:type="dxa"/>
            <w:tcBorders>
              <w:top w:val="nil"/>
              <w:left w:val="nil"/>
              <w:bottom w:val="single" w:sz="8" w:space="0" w:color="auto"/>
              <w:right w:val="nil"/>
            </w:tcBorders>
            <w:shd w:val="clear" w:color="000000" w:fill="FFFFFF"/>
            <w:noWrap/>
            <w:vAlign w:val="bottom"/>
            <w:hideMark/>
          </w:tcPr>
          <w:p w14:paraId="0A5768DB" w14:textId="77777777" w:rsidR="00723C56" w:rsidRPr="00723C56" w:rsidRDefault="00723C56" w:rsidP="00723C56">
            <w:pPr>
              <w:spacing w:after="0" w:line="240" w:lineRule="auto"/>
              <w:rPr>
                <w:rFonts w:ascii="Calibri" w:eastAsia="Times New Roman" w:hAnsi="Calibri" w:cs="Calibri"/>
                <w:b/>
                <w:bCs/>
                <w:color w:val="000000"/>
                <w:sz w:val="18"/>
                <w:szCs w:val="18"/>
              </w:rPr>
            </w:pPr>
            <w:r w:rsidRPr="00723C56">
              <w:rPr>
                <w:rFonts w:ascii="Calibri" w:eastAsia="Times New Roman" w:hAnsi="Calibri" w:cs="Calibri"/>
                <w:b/>
                <w:bCs/>
                <w:color w:val="000000"/>
                <w:sz w:val="18"/>
                <w:szCs w:val="18"/>
              </w:rPr>
              <w:t>ICER år 10</w:t>
            </w:r>
          </w:p>
        </w:tc>
        <w:tc>
          <w:tcPr>
            <w:tcW w:w="2551" w:type="dxa"/>
            <w:tcBorders>
              <w:top w:val="nil"/>
              <w:left w:val="nil"/>
              <w:bottom w:val="single" w:sz="8" w:space="0" w:color="auto"/>
              <w:right w:val="nil"/>
            </w:tcBorders>
            <w:shd w:val="clear" w:color="000000" w:fill="FFFFFF"/>
            <w:noWrap/>
            <w:vAlign w:val="bottom"/>
            <w:hideMark/>
          </w:tcPr>
          <w:p w14:paraId="565E5055"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310 205</w:t>
            </w:r>
          </w:p>
        </w:tc>
        <w:tc>
          <w:tcPr>
            <w:tcW w:w="3260" w:type="dxa"/>
            <w:gridSpan w:val="2"/>
            <w:tcBorders>
              <w:top w:val="nil"/>
              <w:left w:val="nil"/>
              <w:bottom w:val="single" w:sz="8" w:space="0" w:color="auto"/>
              <w:right w:val="nil"/>
            </w:tcBorders>
            <w:shd w:val="clear" w:color="000000" w:fill="FFFFFF"/>
            <w:noWrap/>
            <w:vAlign w:val="bottom"/>
            <w:hideMark/>
          </w:tcPr>
          <w:p w14:paraId="7B3C9E3F" w14:textId="77777777" w:rsidR="00723C56" w:rsidRPr="00723C56" w:rsidRDefault="00723C56" w:rsidP="00723C56">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250 229</w:t>
            </w:r>
          </w:p>
        </w:tc>
        <w:tc>
          <w:tcPr>
            <w:tcW w:w="1985" w:type="dxa"/>
            <w:tcBorders>
              <w:top w:val="nil"/>
              <w:left w:val="nil"/>
              <w:bottom w:val="single" w:sz="8" w:space="0" w:color="auto"/>
              <w:right w:val="nil"/>
            </w:tcBorders>
            <w:shd w:val="clear" w:color="000000" w:fill="FFFFFF"/>
            <w:noWrap/>
            <w:vAlign w:val="bottom"/>
            <w:hideMark/>
          </w:tcPr>
          <w:p w14:paraId="5F8FE121" w14:textId="77777777" w:rsidR="00723C56" w:rsidRPr="00723C56" w:rsidRDefault="00723C56" w:rsidP="003005EF">
            <w:pPr>
              <w:spacing w:after="0" w:line="240" w:lineRule="auto"/>
              <w:jc w:val="center"/>
              <w:rPr>
                <w:rFonts w:ascii="Calibri" w:eastAsia="Times New Roman" w:hAnsi="Calibri" w:cs="Calibri"/>
                <w:color w:val="000000"/>
                <w:sz w:val="18"/>
                <w:szCs w:val="18"/>
              </w:rPr>
            </w:pPr>
            <w:r w:rsidRPr="00723C56">
              <w:rPr>
                <w:rFonts w:ascii="Calibri" w:eastAsia="Times New Roman" w:hAnsi="Calibri" w:cs="Calibri"/>
                <w:color w:val="000000"/>
                <w:sz w:val="18"/>
                <w:szCs w:val="18"/>
              </w:rPr>
              <w:t>194 313</w:t>
            </w:r>
          </w:p>
        </w:tc>
      </w:tr>
    </w:tbl>
    <w:p w14:paraId="1833CC1D" w14:textId="34F7E7AE" w:rsidR="00B956D7" w:rsidRPr="00B956D7" w:rsidRDefault="00084206" w:rsidP="00045196">
      <w:pPr>
        <w:jc w:val="both"/>
      </w:pPr>
      <w:r w:rsidRPr="00B956D7">
        <w:rPr>
          <w:sz w:val="16"/>
          <w:szCs w:val="16"/>
        </w:rPr>
        <w:t xml:space="preserve">Tabell: </w:t>
      </w:r>
      <w:r w:rsidR="003453BD">
        <w:rPr>
          <w:sz w:val="16"/>
          <w:szCs w:val="16"/>
        </w:rPr>
        <w:t xml:space="preserve">kostnader per vunna QALY under tre scenarier och för åren 0 (transplantationsåret), 1, 2, 5, och 10 utan hänsyn taget till alla sjukvårdskostnaderna. Det bästa scenariot är det    scenario för vilket de kumulerade kostnaderna är minst. De motsvarar också de högsta QALY för samtliga behandlingar. </w:t>
      </w:r>
    </w:p>
    <w:p w14:paraId="162A3520" w14:textId="77777777" w:rsidR="00084206" w:rsidRDefault="00084206" w:rsidP="00723C56">
      <w:r>
        <w:rPr>
          <w:noProof/>
          <w:lang w:eastAsia="sv-SE"/>
        </w:rPr>
        <w:drawing>
          <wp:inline distT="0" distB="0" distL="0" distR="0" wp14:anchorId="0E187F15" wp14:editId="5CD00EFC">
            <wp:extent cx="5694415" cy="2626192"/>
            <wp:effectExtent l="0" t="0" r="1905" b="3175"/>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497316-C118-4C2B-8F1C-0E0D28AD5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44D621" w14:textId="77777777" w:rsidR="002D3BF9" w:rsidRDefault="004F1A6C" w:rsidP="002D3BF9">
      <w:pPr>
        <w:rPr>
          <w:sz w:val="16"/>
          <w:szCs w:val="16"/>
        </w:rPr>
      </w:pPr>
      <w:r w:rsidRPr="00723C56">
        <w:rPr>
          <w:sz w:val="16"/>
          <w:szCs w:val="16"/>
        </w:rPr>
        <w:t xml:space="preserve">Figur: </w:t>
      </w:r>
      <w:r>
        <w:rPr>
          <w:sz w:val="16"/>
          <w:szCs w:val="16"/>
        </w:rPr>
        <w:t>Grafen över de beräknade inkrementella kostnadseffektivitetskvoterna för åren 0—10 för de tre scenarierna. I detta fall tas ingen hänsyn till alla sjukvårdskostnaderna för dialyspatienterna.  Vi observerar att kostnaderna är negativa för åren 1—5 vilket innebär vinster per vunna QALY. År 1 är kostnaderna relativt höga. År 10 observeras kostnader som är acceptabla ur ett hälsoekonomiskt perspektiv.</w:t>
      </w:r>
    </w:p>
    <w:p w14:paraId="27D79119" w14:textId="77777777" w:rsidR="004F1A6C" w:rsidRPr="002D3BF9" w:rsidRDefault="004F1A6C" w:rsidP="002D3BF9"/>
    <w:p w14:paraId="13E62F25" w14:textId="77777777" w:rsidR="00D75898" w:rsidRDefault="002D3BF9" w:rsidP="002D3BF9">
      <w:pPr>
        <w:pStyle w:val="Rubrik2"/>
      </w:pPr>
      <w:bookmarkStart w:id="9" w:name="_Toc474824367"/>
      <w:r w:rsidRPr="00C6649D">
        <w:rPr>
          <w:color w:val="FF0000"/>
        </w:rPr>
        <w:t>Slutsatser</w:t>
      </w:r>
      <w:bookmarkEnd w:id="9"/>
    </w:p>
    <w:p w14:paraId="00AB67BA" w14:textId="1017A305" w:rsidR="00344C1C" w:rsidRDefault="006E6161" w:rsidP="0059700E">
      <w:r>
        <w:t xml:space="preserve">Analysen av de hälsoekonomiska konsekvenserna av ett införande av en svensk DCD-process visar tydliga vinster för såväl patienterna som för sjukvården. </w:t>
      </w:r>
      <w:r w:rsidR="00412AE3">
        <w:t xml:space="preserve">Vi har studerat tre olika scenarier som </w:t>
      </w:r>
      <w:r w:rsidR="00F43653">
        <w:t xml:space="preserve">visar </w:t>
      </w:r>
      <w:r w:rsidR="00412AE3">
        <w:t>i vilka olika uppskattningar av QALY (</w:t>
      </w:r>
      <w:r w:rsidR="00412AE3" w:rsidRPr="00656E62">
        <w:rPr>
          <w:i/>
        </w:rPr>
        <w:t>Quality-Adjusted Life years</w:t>
      </w:r>
      <w:r w:rsidR="00412AE3">
        <w:t xml:space="preserve">) görs. Det är notoriskt svårt att uppskatta hur en given behandling påverkar en patients livskvalitet och det är därför viktigt att kunna undersöka extrema uppskattningar och sätta dessa i förhållande till ett basscenario. För basscenariot har vi valt en svensk studie </w:t>
      </w:r>
      <w:r w:rsidR="00656E62">
        <w:t xml:space="preserve">[15]. </w:t>
      </w:r>
      <w:r w:rsidR="00350073">
        <w:t>I analysen har vi även valt att göra beräkni</w:t>
      </w:r>
      <w:r w:rsidR="00072D98">
        <w:t>ngarna med och utan hänsyn tage</w:t>
      </w:r>
      <w:r w:rsidR="00F43653">
        <w:t>n</w:t>
      </w:r>
      <w:r w:rsidR="00072D98">
        <w:t xml:space="preserve"> till alla sjukvårdskostnader direkt kopplade till njursviktssjukdomen. För en fullständig analys har vi även tagit hänsyn till</w:t>
      </w:r>
      <w:r w:rsidR="00344C1C">
        <w:t xml:space="preserve"> kostnaderna i processen som leder till en</w:t>
      </w:r>
      <w:r w:rsidR="00F43653">
        <w:t xml:space="preserve"> transplantation</w:t>
      </w:r>
      <w:r w:rsidR="00344C1C">
        <w:t xml:space="preserve"> </w:t>
      </w:r>
      <w:r w:rsidR="00F43653">
        <w:t xml:space="preserve">med en </w:t>
      </w:r>
      <w:r w:rsidR="00344C1C">
        <w:t>DCD-donerad njur</w:t>
      </w:r>
      <w:r w:rsidR="00F43653">
        <w:t>e</w:t>
      </w:r>
      <w:r w:rsidR="00344C1C">
        <w:t>. Kostnaderna varierar beroende på hur länge denna process varar och en uppskattning har gjort</w:t>
      </w:r>
      <w:r w:rsidR="00F43653">
        <w:t>s</w:t>
      </w:r>
      <w:r w:rsidR="00344C1C">
        <w:t xml:space="preserve"> över hur stor andel av processerna </w:t>
      </w:r>
      <w:r w:rsidR="00F43653">
        <w:t xml:space="preserve">som </w:t>
      </w:r>
      <w:r w:rsidR="00344C1C">
        <w:t>är längre eller kortare. I alla hälsoekonomiska analyser måste individernas produktivitet ingå. Om en behandling har positiva effekter på patienternas möjligheter att öka sitt deltagande i arbetslivet måste de potentiella skatteintäkterna till följd av detta ingå i balansräkningen. Som notera</w:t>
      </w:r>
      <w:r w:rsidR="00F43653">
        <w:t>ts</w:t>
      </w:r>
      <w:r w:rsidR="00344C1C">
        <w:t xml:space="preserve"> i detta arbete hade transplantationer den största inverkan för patienter som övergår från haemodialys till transplantation. </w:t>
      </w:r>
    </w:p>
    <w:p w14:paraId="4AB6F069" w14:textId="77777777" w:rsidR="001D746C" w:rsidRDefault="00344C1C" w:rsidP="0059700E">
      <w:r>
        <w:t>Slutsatsen som kan dras av arbetet är att införandet av en DCD-process innebär stora besparingar för sjukvården och kraftigt förbättrad livskvalitet för patienterna. I e</w:t>
      </w:r>
      <w:r w:rsidR="00A63047">
        <w:t>tt</w:t>
      </w:r>
      <w:r>
        <w:t xml:space="preserve"> av scenarierna överstiger kostnaden per QALY </w:t>
      </w:r>
      <w:r w:rsidR="00A63047">
        <w:t xml:space="preserve">den acceptabla tröskeln med cirka 200 000 kr/QALY vid transplantationstillfället. I detta scenario har vi dock endast tagit hänsyn till kostnaderna för dialysvården. Denna kostnad får sättas emot de mycket stora vinsterna som görs de påföljande åren. Första året efter transplantation görs vinster på </w:t>
      </w:r>
      <w:r w:rsidR="001D746C">
        <w:t xml:space="preserve">ca </w:t>
      </w:r>
      <w:r w:rsidR="00A63047">
        <w:t>9</w:t>
      </w:r>
      <w:r w:rsidR="001D746C">
        <w:t>3</w:t>
      </w:r>
      <w:r w:rsidR="00A63047">
        <w:t>0 000</w:t>
      </w:r>
      <w:r w:rsidR="001D746C">
        <w:t>—</w:t>
      </w:r>
      <w:r w:rsidR="00A63047">
        <w:t>1</w:t>
      </w:r>
      <w:r w:rsidR="001D746C">
        <w:t xml:space="preserve"> 380 000 kr/QALY, andra året </w:t>
      </w:r>
      <w:r w:rsidR="004F1A6C">
        <w:t xml:space="preserve">är vinsterna </w:t>
      </w:r>
      <w:r w:rsidR="001D746C">
        <w:t xml:space="preserve">ca 660 000—780 000 kr/QALY. </w:t>
      </w:r>
    </w:p>
    <w:p w14:paraId="6731BB91" w14:textId="77777777" w:rsidR="00072D98" w:rsidRDefault="001D746C" w:rsidP="0059700E">
      <w:r>
        <w:t xml:space="preserve">Om man i stället väljer att även ta hänsyn till </w:t>
      </w:r>
      <w:r w:rsidR="005F24B4">
        <w:t xml:space="preserve">samtliga kostnader associerade till vården av dialyspatienterna blir vinsterna tydliga. Redan vid transplantationstillfället observeras vinster mellan 300 000—590 000 kr/QALY. Det andra året ligger vinsterna mellan 1 380 000—2 000 000 kr/QALY beroende på vilket scenario man antar. Det är inte förrän år 10 som några kostnader observeras och även dessa ligger under tröskeln för vad som är acceptabelt. </w:t>
      </w:r>
    </w:p>
    <w:p w14:paraId="79F5A3A8" w14:textId="3BED19B0" w:rsidR="00836B34" w:rsidRDefault="004F1A6C" w:rsidP="0059700E">
      <w:r>
        <w:t xml:space="preserve">Analysen bygger på ett antal antaganden och en jämförelse mellan svenska och brittiska förhållanden. Vi valde Storbritannien för att minimera effekter av allt för olika sjukvårdsystem och olika förhållningssätt till transplantation. I de studier som gjordes noterades att Storbritannien och Sverige har relativt lika DBD-processer och att </w:t>
      </w:r>
      <w:r w:rsidR="00F43653">
        <w:t xml:space="preserve">inom </w:t>
      </w:r>
      <w:r w:rsidR="00836B34">
        <w:t xml:space="preserve">NHS </w:t>
      </w:r>
      <w:r w:rsidR="00F43653">
        <w:t xml:space="preserve">finns </w:t>
      </w:r>
      <w:r w:rsidR="00836B34">
        <w:t>en lång erfarenhet av DCD-processen. Vi kan även notera att det på lång sikt är väldig små skillnader</w:t>
      </w:r>
      <w:r w:rsidR="00F43653">
        <w:t xml:space="preserve"> i utfall</w:t>
      </w:r>
      <w:r w:rsidR="00836B34">
        <w:t xml:space="preserve"> mellan patienter med DBD- och DCD-donatorer i den brittiska sjukvården. Vi gör antagandet att detta även kommer att gälla i Sverige. </w:t>
      </w:r>
    </w:p>
    <w:p w14:paraId="4407565D" w14:textId="77777777" w:rsidR="00D5207E" w:rsidRDefault="004A021B" w:rsidP="0059700E">
      <w:r>
        <w:t xml:space="preserve">Vi vill tillägga att analysen endast avser njurdonationer i en ny uppsättning behandlingar som inkluderar DCD-donationer och vi därmed inte har tagit hänsyn till potentiella vinster i om med möjliggörandet av andra organ och vävnader. Utredningen begränsades till att uppskatta de hälsoekonomiska vinsterna och kostnaderna av införandet av njurdonationer efter cirkulationsdöden men det verkar rimligt att även andra organ såsom lever, lungor och bukspottskörtel skulle kunna tas tillvara på. Detta innebär att de faktiska hälsoekonomiska effekterna av en svensk DCD-process är större än de som redovisas i denna rapport. Att vi inte har tagit hänsyn till dessa är först och främst att utredningens syfte var att fokusera på njurdonationer samt att </w:t>
      </w:r>
      <w:r w:rsidR="00D5207E">
        <w:t xml:space="preserve">vi inte har haft tillgång till relevant data om andra organ. </w:t>
      </w:r>
    </w:p>
    <w:p w14:paraId="11FF4B1C" w14:textId="5C0C526B" w:rsidR="004A021B" w:rsidRDefault="00D5207E" w:rsidP="0059700E">
      <w:r>
        <w:t xml:space="preserve">Vi har inte heller jämfört DCD- och DBD-donationer som behandlingsformer. För detta krävs data på individnivå över långa perioder före och efter donationen samt data om en rad olika utfall av transplantationen och historik över patientens hälsa. Sådan data har vi inte haft tillgång till. Det ska noteras av utredningen avsåg de hälsoekonomiska effekterna av ett införande av DCD över en längre tid och inte en utredning av DCD-processen </w:t>
      </w:r>
      <w:r w:rsidRPr="00770C34">
        <w:rPr>
          <w:i/>
        </w:rPr>
        <w:t>per se</w:t>
      </w:r>
      <w:r>
        <w:t>.</w:t>
      </w:r>
      <w:r w:rsidR="004A021B">
        <w:t xml:space="preserve"> </w:t>
      </w:r>
    </w:p>
    <w:p w14:paraId="5F945924" w14:textId="77777777" w:rsidR="00836B34" w:rsidRDefault="00836B34" w:rsidP="0059700E"/>
    <w:p w14:paraId="592CB6AF" w14:textId="77777777" w:rsidR="004F1A6C" w:rsidRDefault="004F1A6C" w:rsidP="0059700E"/>
    <w:p w14:paraId="2369340A" w14:textId="77777777" w:rsidR="0059700E" w:rsidRDefault="00412AE3" w:rsidP="0059700E">
      <w:r>
        <w:t xml:space="preserve"> </w:t>
      </w:r>
    </w:p>
    <w:p w14:paraId="15FE1CA8" w14:textId="77777777" w:rsidR="0059700E" w:rsidRDefault="0059700E" w:rsidP="0059700E"/>
    <w:p w14:paraId="509E1546" w14:textId="77777777" w:rsidR="00A065EA" w:rsidRDefault="00A065EA" w:rsidP="0059700E"/>
    <w:p w14:paraId="5BA2F9C4" w14:textId="77777777" w:rsidR="00836B34" w:rsidRDefault="00836B34" w:rsidP="0059700E"/>
    <w:p w14:paraId="1654BE28" w14:textId="77777777" w:rsidR="00836B34" w:rsidRDefault="00836B34" w:rsidP="0059700E"/>
    <w:p w14:paraId="4C0FB1DD" w14:textId="77777777" w:rsidR="00836B34" w:rsidRDefault="00836B34" w:rsidP="0059700E"/>
    <w:p w14:paraId="11274102" w14:textId="77777777" w:rsidR="00836B34" w:rsidRDefault="00836B34" w:rsidP="0059700E"/>
    <w:p w14:paraId="29F59569" w14:textId="77777777" w:rsidR="00836B34" w:rsidRDefault="00836B34" w:rsidP="0059700E"/>
    <w:p w14:paraId="4D71B303" w14:textId="77777777" w:rsidR="00836B34" w:rsidRDefault="00836B34" w:rsidP="0059700E"/>
    <w:p w14:paraId="1DED5A13" w14:textId="77777777" w:rsidR="00836B34" w:rsidRDefault="00836B34" w:rsidP="0059700E"/>
    <w:p w14:paraId="35A55887" w14:textId="77777777" w:rsidR="00836B34" w:rsidRDefault="00836B34" w:rsidP="0059700E"/>
    <w:p w14:paraId="234213C7" w14:textId="77777777" w:rsidR="00836B34" w:rsidRDefault="00836B34" w:rsidP="0059700E"/>
    <w:p w14:paraId="38FD7FE0" w14:textId="77777777" w:rsidR="00836B34" w:rsidRDefault="00836B34" w:rsidP="0059700E"/>
    <w:p w14:paraId="701F9242" w14:textId="77777777" w:rsidR="00836B34" w:rsidRDefault="00836B34" w:rsidP="0059700E"/>
    <w:p w14:paraId="063ADEAC" w14:textId="77777777" w:rsidR="00836B34" w:rsidRDefault="00836B34" w:rsidP="0059700E"/>
    <w:p w14:paraId="1B7D2728" w14:textId="77777777" w:rsidR="00836B34" w:rsidRDefault="00836B34" w:rsidP="0059700E"/>
    <w:p w14:paraId="2B53E5A0" w14:textId="77777777" w:rsidR="00836B34" w:rsidRDefault="00836B34" w:rsidP="0059700E"/>
    <w:p w14:paraId="4C9CF887" w14:textId="77777777" w:rsidR="00836B34" w:rsidRDefault="00836B34" w:rsidP="0059700E"/>
    <w:p w14:paraId="3CF71EDF" w14:textId="77777777" w:rsidR="00836B34" w:rsidRDefault="00836B34" w:rsidP="0059700E"/>
    <w:p w14:paraId="6F6823F4" w14:textId="77777777" w:rsidR="00836B34" w:rsidRDefault="00836B34" w:rsidP="0059700E"/>
    <w:p w14:paraId="09384AC5" w14:textId="77777777" w:rsidR="00836B34" w:rsidRDefault="00836B34" w:rsidP="0059700E"/>
    <w:p w14:paraId="4F99163F" w14:textId="77777777" w:rsidR="00836B34" w:rsidRDefault="00836B34" w:rsidP="0059700E"/>
    <w:p w14:paraId="3EF74EF2" w14:textId="77777777" w:rsidR="00836B34" w:rsidRPr="0059700E" w:rsidRDefault="00836B34" w:rsidP="0059700E"/>
    <w:p w14:paraId="309C6E82" w14:textId="77777777" w:rsidR="00E0585F" w:rsidRPr="00E0585F" w:rsidRDefault="00E0585F" w:rsidP="00E0585F">
      <w:pPr>
        <w:pStyle w:val="Rubrik2"/>
      </w:pPr>
      <w:bookmarkStart w:id="10" w:name="_Toc474824368"/>
      <w:r w:rsidRPr="00CA0A47">
        <w:rPr>
          <w:color w:val="FF0000"/>
        </w:rPr>
        <w:t>Referenser</w:t>
      </w:r>
      <w:bookmarkEnd w:id="10"/>
    </w:p>
    <w:p w14:paraId="7C484DD6" w14:textId="77777777" w:rsidR="008F6706" w:rsidRPr="00A75620" w:rsidRDefault="00A75620" w:rsidP="00A75620">
      <w:r w:rsidRPr="00A75620">
        <w:rPr>
          <w:bCs/>
        </w:rPr>
        <w:t>[1]</w:t>
      </w:r>
      <w:r>
        <w:rPr>
          <w:b/>
          <w:bCs/>
        </w:rPr>
        <w:t xml:space="preserve"> </w:t>
      </w:r>
      <w:r w:rsidR="008F6706" w:rsidRPr="00A75620">
        <w:rPr>
          <w:b/>
          <w:bCs/>
        </w:rPr>
        <w:t xml:space="preserve">Organdonation - En livsviktig verksamhet </w:t>
      </w:r>
      <w:r w:rsidR="008F6706" w:rsidRPr="00A75620">
        <w:t>(</w:t>
      </w:r>
      <w:r w:rsidR="008F6706" w:rsidRPr="00A75620">
        <w:rPr>
          <w:i/>
          <w:iCs/>
        </w:rPr>
        <w:t>Betänkande av Utredningen om donations- och transplantationsfrågor</w:t>
      </w:r>
      <w:r w:rsidR="008F6706" w:rsidRPr="00A75620">
        <w:t>): SOU2015:84 + frågeställningar (KG Prütz)</w:t>
      </w:r>
    </w:p>
    <w:p w14:paraId="7CDEF80F" w14:textId="77777777" w:rsidR="008F6706" w:rsidRPr="00A75620" w:rsidRDefault="00A75620" w:rsidP="00A75620">
      <w:r w:rsidRPr="00A75620">
        <w:rPr>
          <w:bCs/>
        </w:rPr>
        <w:t>[2]</w:t>
      </w:r>
      <w:r>
        <w:rPr>
          <w:b/>
          <w:bCs/>
        </w:rPr>
        <w:t xml:space="preserve"> </w:t>
      </w:r>
      <w:r w:rsidR="008F6706" w:rsidRPr="00A75620">
        <w:rPr>
          <w:b/>
          <w:bCs/>
        </w:rPr>
        <w:t>SNR</w:t>
      </w:r>
      <w:r w:rsidR="008F6706" w:rsidRPr="00A75620">
        <w:t xml:space="preserve"> Årsrapporter 2014, 2015 </w:t>
      </w:r>
    </w:p>
    <w:p w14:paraId="10DF5841" w14:textId="77777777" w:rsidR="008F6706" w:rsidRPr="00A75620" w:rsidRDefault="00A75620" w:rsidP="00A75620">
      <w:r w:rsidRPr="00A75620">
        <w:rPr>
          <w:bCs/>
        </w:rPr>
        <w:t>[3]</w:t>
      </w:r>
      <w:r>
        <w:rPr>
          <w:b/>
          <w:bCs/>
        </w:rPr>
        <w:t xml:space="preserve"> </w:t>
      </w:r>
      <w:r w:rsidR="008F6706" w:rsidRPr="00A75620">
        <w:rPr>
          <w:b/>
          <w:bCs/>
        </w:rPr>
        <w:t>SNR</w:t>
      </w:r>
      <w:r w:rsidR="008F6706" w:rsidRPr="00A75620">
        <w:t xml:space="preserve"> Webbpublicerad data</w:t>
      </w:r>
    </w:p>
    <w:p w14:paraId="63497261" w14:textId="77777777" w:rsidR="008F6706" w:rsidRPr="00A75620" w:rsidRDefault="00A75620" w:rsidP="00A75620">
      <w:r w:rsidRPr="00A75620">
        <w:rPr>
          <w:bCs/>
        </w:rPr>
        <w:t>[4]</w:t>
      </w:r>
      <w:r>
        <w:rPr>
          <w:b/>
          <w:bCs/>
        </w:rPr>
        <w:t xml:space="preserve"> </w:t>
      </w:r>
      <w:r w:rsidR="008F6706" w:rsidRPr="00A75620">
        <w:rPr>
          <w:b/>
          <w:bCs/>
        </w:rPr>
        <w:t>NHS</w:t>
      </w:r>
      <w:r w:rsidR="008F6706" w:rsidRPr="00A75620">
        <w:t xml:space="preserve"> – Blood and Transplant, Årsrapporter 2013, 2014, 2015 samt kompletterande data levererat av </w:t>
      </w:r>
      <w:r w:rsidR="008F6706" w:rsidRPr="00A75620">
        <w:rPr>
          <w:b/>
          <w:bCs/>
        </w:rPr>
        <w:t>NHS-statistics department</w:t>
      </w:r>
    </w:p>
    <w:p w14:paraId="13B5D8FE" w14:textId="77777777" w:rsidR="008F6706" w:rsidRDefault="00A75620" w:rsidP="00A75620">
      <w:pPr>
        <w:rPr>
          <w:lang w:val="en-US"/>
        </w:rPr>
      </w:pPr>
      <w:r>
        <w:rPr>
          <w:iCs/>
          <w:lang w:val="en-US"/>
        </w:rPr>
        <w:t xml:space="preserve">[5] </w:t>
      </w:r>
      <w:hyperlink r:id="rId20" w:history="1">
        <w:r w:rsidRPr="00A75620">
          <w:rPr>
            <w:lang w:val="en-US"/>
          </w:rPr>
          <w:t>Summers D</w:t>
        </w:r>
      </w:hyperlink>
      <w:r w:rsidRPr="00A75620">
        <w:rPr>
          <w:lang w:val="en-US"/>
        </w:rPr>
        <w:t>, </w:t>
      </w:r>
      <w:hyperlink r:id="rId21" w:history="1">
        <w:r w:rsidRPr="00A75620">
          <w:rPr>
            <w:lang w:val="en-US"/>
          </w:rPr>
          <w:t>Watson C</w:t>
        </w:r>
      </w:hyperlink>
      <w:r w:rsidRPr="00A75620">
        <w:rPr>
          <w:lang w:val="en-US"/>
        </w:rPr>
        <w:t>, </w:t>
      </w:r>
      <w:hyperlink r:id="rId22" w:history="1">
        <w:r w:rsidRPr="00A75620">
          <w:rPr>
            <w:lang w:val="en-US"/>
          </w:rPr>
          <w:t>Pettigrew G</w:t>
        </w:r>
      </w:hyperlink>
      <w:r w:rsidRPr="00A75620">
        <w:rPr>
          <w:lang w:val="en-US"/>
        </w:rPr>
        <w:t>, </w:t>
      </w:r>
      <w:hyperlink r:id="rId23" w:history="1">
        <w:r w:rsidRPr="00A75620">
          <w:rPr>
            <w:lang w:val="en-US"/>
          </w:rPr>
          <w:t>Johnson R</w:t>
        </w:r>
      </w:hyperlink>
      <w:r w:rsidRPr="00A75620">
        <w:rPr>
          <w:lang w:val="en-US"/>
        </w:rPr>
        <w:t>, </w:t>
      </w:r>
      <w:hyperlink r:id="rId24" w:history="1">
        <w:r w:rsidRPr="00A75620">
          <w:rPr>
            <w:lang w:val="en-US"/>
          </w:rPr>
          <w:t>Collett D</w:t>
        </w:r>
      </w:hyperlink>
      <w:r w:rsidRPr="00A75620">
        <w:rPr>
          <w:lang w:val="en-US"/>
        </w:rPr>
        <w:t>, </w:t>
      </w:r>
      <w:hyperlink r:id="rId25" w:history="1">
        <w:r w:rsidRPr="00A75620">
          <w:rPr>
            <w:lang w:val="en-US"/>
          </w:rPr>
          <w:t>Neuberger J</w:t>
        </w:r>
      </w:hyperlink>
      <w:r w:rsidRPr="00A75620">
        <w:rPr>
          <w:lang w:val="en-US"/>
        </w:rPr>
        <w:t>, </w:t>
      </w:r>
      <w:hyperlink r:id="rId26" w:history="1">
        <w:r w:rsidRPr="00A75620">
          <w:rPr>
            <w:lang w:val="en-US"/>
          </w:rPr>
          <w:t>Bradley J</w:t>
        </w:r>
      </w:hyperlink>
      <w:r w:rsidRPr="00A75620">
        <w:rPr>
          <w:rFonts w:ascii="Arial" w:hAnsi="Arial" w:cs="Arial"/>
          <w:color w:val="000000"/>
          <w:sz w:val="18"/>
          <w:szCs w:val="18"/>
          <w:shd w:val="clear" w:color="auto" w:fill="FFFFFF"/>
          <w:lang w:val="en-US"/>
        </w:rPr>
        <w:t>.</w:t>
      </w:r>
      <w:r w:rsidRPr="00A75620">
        <w:rPr>
          <w:i/>
          <w:iCs/>
          <w:lang w:val="en-US"/>
        </w:rPr>
        <w:t xml:space="preserve"> </w:t>
      </w:r>
      <w:r w:rsidR="008F6706" w:rsidRPr="00A75620">
        <w:rPr>
          <w:i/>
          <w:iCs/>
          <w:lang w:val="en-US"/>
        </w:rPr>
        <w:t>Kidney Donation After Circulatory Death (DCD): State Of The Art</w:t>
      </w:r>
      <w:r w:rsidR="008F6706" w:rsidRPr="00A75620">
        <w:rPr>
          <w:lang w:val="en-US"/>
        </w:rPr>
        <w:t xml:space="preserve">, Kidney International (2015), </w:t>
      </w:r>
      <w:r w:rsidR="008F6706" w:rsidRPr="00A75620">
        <w:rPr>
          <w:b/>
          <w:bCs/>
          <w:lang w:val="en-US"/>
        </w:rPr>
        <w:t xml:space="preserve">88 </w:t>
      </w:r>
      <w:r w:rsidR="008F6706" w:rsidRPr="00A75620">
        <w:rPr>
          <w:lang w:val="en-US"/>
        </w:rPr>
        <w:t xml:space="preserve">(241-249) </w:t>
      </w:r>
      <w:r>
        <w:rPr>
          <w:lang w:val="en-US"/>
        </w:rPr>
        <w:t xml:space="preserve">+ </w:t>
      </w:r>
      <w:r w:rsidR="004337A9">
        <w:rPr>
          <w:lang w:val="en-US"/>
        </w:rPr>
        <w:t>data levererade</w:t>
      </w:r>
      <w:r w:rsidR="008F6706" w:rsidRPr="00A75620">
        <w:rPr>
          <w:lang w:val="en-US"/>
        </w:rPr>
        <w:t xml:space="preserve"> av huvudförfattaren</w:t>
      </w:r>
      <w:r w:rsidR="004337A9">
        <w:rPr>
          <w:lang w:val="en-US"/>
        </w:rPr>
        <w:t>,</w:t>
      </w:r>
      <w:r w:rsidR="008F6706" w:rsidRPr="00A75620">
        <w:rPr>
          <w:lang w:val="en-US"/>
        </w:rPr>
        <w:t xml:space="preserve"> Dominic M. Summers (University of Cambridge)</w:t>
      </w:r>
    </w:p>
    <w:p w14:paraId="42525560" w14:textId="77777777" w:rsidR="00A75620" w:rsidRPr="00543199" w:rsidRDefault="00A75620" w:rsidP="00A75620">
      <w:r>
        <w:rPr>
          <w:iCs/>
          <w:lang w:val="en-US"/>
        </w:rPr>
        <w:t xml:space="preserve">[6] </w:t>
      </w:r>
      <w:r w:rsidRPr="00A75620">
        <w:rPr>
          <w:lang w:val="en-US"/>
        </w:rPr>
        <w:t>Summers D, Johnson R, Collett D, Watson C, Neuberger J, Pettigrew G, Bradley J</w:t>
      </w:r>
      <w:r w:rsidRPr="00A75620">
        <w:rPr>
          <w:i/>
          <w:iCs/>
          <w:lang w:val="en-US"/>
        </w:rPr>
        <w:t>. Kidney Transplantation Using Kidneys from Donation After Circulatory Death Donors: Results from the UK Experience</w:t>
      </w:r>
      <w:r w:rsidRPr="00A75620">
        <w:rPr>
          <w:rFonts w:ascii="Arial" w:hAnsi="Arial" w:cs="Arial"/>
          <w:color w:val="000000"/>
          <w:shd w:val="clear" w:color="auto" w:fill="EEEEEE"/>
          <w:lang w:val="en-US"/>
        </w:rPr>
        <w:t>.</w:t>
      </w:r>
      <w:r w:rsidRPr="00A75620">
        <w:rPr>
          <w:rStyle w:val="apple-converted-space"/>
          <w:rFonts w:ascii="Arial" w:hAnsi="Arial" w:cs="Arial"/>
          <w:color w:val="000000"/>
          <w:shd w:val="clear" w:color="auto" w:fill="EEEEEE"/>
          <w:lang w:val="en-US"/>
        </w:rPr>
        <w:t> </w:t>
      </w:r>
      <w:r w:rsidRPr="00543199">
        <w:rPr>
          <w:i/>
        </w:rPr>
        <w:t>Am J Transplant</w:t>
      </w:r>
      <w:r w:rsidRPr="00543199">
        <w:rPr>
          <w:rStyle w:val="Betoning"/>
          <w:rFonts w:ascii="Arial" w:hAnsi="Arial" w:cs="Arial"/>
          <w:color w:val="000000"/>
        </w:rPr>
        <w:t>.</w:t>
      </w:r>
      <w:r w:rsidRPr="00543199">
        <w:rPr>
          <w:rStyle w:val="apple-converted-space"/>
          <w:rFonts w:ascii="Arial" w:hAnsi="Arial" w:cs="Arial"/>
          <w:color w:val="000000"/>
          <w:shd w:val="clear" w:color="auto" w:fill="EEEEEE"/>
        </w:rPr>
        <w:t> </w:t>
      </w:r>
      <w:r w:rsidRPr="00A75620">
        <w:t xml:space="preserve">2015; </w:t>
      </w:r>
      <w:r w:rsidRPr="00A75620">
        <w:rPr>
          <w:b/>
        </w:rPr>
        <w:t>15</w:t>
      </w:r>
      <w:r w:rsidRPr="00A75620">
        <w:t xml:space="preserve"> (suppl 3).</w:t>
      </w:r>
      <w:r w:rsidRPr="00543199">
        <w:rPr>
          <w:rStyle w:val="apple-converted-space"/>
          <w:rFonts w:ascii="Arial" w:hAnsi="Arial" w:cs="Arial"/>
          <w:color w:val="000000"/>
          <w:shd w:val="clear" w:color="auto" w:fill="EEEEEE"/>
        </w:rPr>
        <w:t> </w:t>
      </w:r>
    </w:p>
    <w:p w14:paraId="6BA21A31" w14:textId="77777777" w:rsidR="008F6706" w:rsidRPr="00543199" w:rsidRDefault="00A75620" w:rsidP="00A75620">
      <w:r w:rsidRPr="00543199">
        <w:rPr>
          <w:bCs/>
        </w:rPr>
        <w:t xml:space="preserve">[6] </w:t>
      </w:r>
      <w:r w:rsidR="008F6706" w:rsidRPr="00543199">
        <w:rPr>
          <w:b/>
          <w:bCs/>
        </w:rPr>
        <w:t xml:space="preserve">ERA-EDTA Registry </w:t>
      </w:r>
      <w:r w:rsidR="008F6706" w:rsidRPr="00543199">
        <w:t>(Survival Report 2014)</w:t>
      </w:r>
    </w:p>
    <w:p w14:paraId="44D3AD3B" w14:textId="77777777" w:rsidR="008F6706" w:rsidRPr="00A75620" w:rsidRDefault="00A75620" w:rsidP="00A75620">
      <w:r w:rsidRPr="00A75620">
        <w:rPr>
          <w:bCs/>
        </w:rPr>
        <w:t>[7]</w:t>
      </w:r>
      <w:r w:rsidRPr="00A75620">
        <w:rPr>
          <w:b/>
          <w:bCs/>
        </w:rPr>
        <w:t xml:space="preserve"> </w:t>
      </w:r>
      <w:r w:rsidR="008F6706" w:rsidRPr="00A75620">
        <w:rPr>
          <w:b/>
          <w:bCs/>
        </w:rPr>
        <w:t xml:space="preserve">Anteckningar om donationsförloppet </w:t>
      </w:r>
      <w:r w:rsidR="008F6706" w:rsidRPr="00A75620">
        <w:t>– Stefan Ström</w:t>
      </w:r>
    </w:p>
    <w:p w14:paraId="07A98BC6" w14:textId="77777777" w:rsidR="008F6706" w:rsidRPr="00A75620" w:rsidRDefault="00A75620" w:rsidP="00A75620">
      <w:r w:rsidRPr="00A75620">
        <w:rPr>
          <w:bCs/>
        </w:rPr>
        <w:t>[8]</w:t>
      </w:r>
      <w:r>
        <w:rPr>
          <w:b/>
          <w:bCs/>
        </w:rPr>
        <w:t xml:space="preserve"> Organdonatorer</w:t>
      </w:r>
      <w:r w:rsidR="008F6706" w:rsidRPr="00A75620">
        <w:rPr>
          <w:b/>
          <w:bCs/>
        </w:rPr>
        <w:t xml:space="preserve"> i Sverige 2013 </w:t>
      </w:r>
      <w:r w:rsidR="008F6706" w:rsidRPr="00A75620">
        <w:t xml:space="preserve">- </w:t>
      </w:r>
      <w:r w:rsidR="008F6706" w:rsidRPr="00A75620">
        <w:rPr>
          <w:i/>
          <w:iCs/>
        </w:rPr>
        <w:t xml:space="preserve">En rapport baserad på dödsfall  inom intensivvården </w:t>
      </w:r>
      <w:r w:rsidR="008F6706" w:rsidRPr="00A75620">
        <w:t>– Socialstyrelsen</w:t>
      </w:r>
    </w:p>
    <w:p w14:paraId="0E63EE85" w14:textId="77777777" w:rsidR="008F6706" w:rsidRPr="00A75620" w:rsidRDefault="00A75620" w:rsidP="00A75620">
      <w:pPr>
        <w:rPr>
          <w:lang w:val="en-US"/>
        </w:rPr>
      </w:pPr>
      <w:r>
        <w:rPr>
          <w:iCs/>
          <w:lang w:val="en-US"/>
        </w:rPr>
        <w:t xml:space="preserve">[9] </w:t>
      </w:r>
      <w:r w:rsidR="008F6706" w:rsidRPr="00A75620">
        <w:rPr>
          <w:i/>
          <w:iCs/>
          <w:lang w:val="en-US"/>
        </w:rPr>
        <w:t>Donation after circulatory d</w:t>
      </w:r>
      <w:r w:rsidR="008F6706" w:rsidRPr="00A75620">
        <w:rPr>
          <w:lang w:val="en-US"/>
        </w:rPr>
        <w:t xml:space="preserve">eath, A. R. Manara </w:t>
      </w:r>
      <w:r w:rsidR="008F6706" w:rsidRPr="00A75620">
        <w:rPr>
          <w:i/>
          <w:iCs/>
          <w:lang w:val="en-US"/>
        </w:rPr>
        <w:t>et al.</w:t>
      </w:r>
      <w:r w:rsidR="008F6706" w:rsidRPr="00A75620">
        <w:rPr>
          <w:lang w:val="en-US"/>
        </w:rPr>
        <w:t xml:space="preserve">, British Journal of </w:t>
      </w:r>
      <w:r w:rsidR="004337A9" w:rsidRPr="00A75620">
        <w:rPr>
          <w:lang w:val="en-US"/>
        </w:rPr>
        <w:t>Anesthesia</w:t>
      </w:r>
      <w:r w:rsidR="008F6706" w:rsidRPr="00A75620">
        <w:rPr>
          <w:lang w:val="en-US"/>
        </w:rPr>
        <w:t xml:space="preserve"> </w:t>
      </w:r>
      <w:r w:rsidR="008F6706" w:rsidRPr="00A75620">
        <w:rPr>
          <w:b/>
          <w:bCs/>
          <w:lang w:val="en-US"/>
        </w:rPr>
        <w:t xml:space="preserve">108 </w:t>
      </w:r>
      <w:r w:rsidR="008F6706" w:rsidRPr="00A75620">
        <w:rPr>
          <w:lang w:val="en-US"/>
        </w:rPr>
        <w:t>(S1), i108-i121, (2012)</w:t>
      </w:r>
    </w:p>
    <w:p w14:paraId="2AC211A6" w14:textId="77777777" w:rsidR="008F6706" w:rsidRPr="00A75620" w:rsidRDefault="00A75620" w:rsidP="00A75620">
      <w:pPr>
        <w:rPr>
          <w:lang w:val="en-US"/>
        </w:rPr>
      </w:pPr>
      <w:r>
        <w:rPr>
          <w:iCs/>
          <w:lang w:val="en-US"/>
        </w:rPr>
        <w:t xml:space="preserve">[10] </w:t>
      </w:r>
      <w:r w:rsidR="008F6706" w:rsidRPr="00A75620">
        <w:rPr>
          <w:i/>
          <w:iCs/>
          <w:lang w:val="en-US"/>
        </w:rPr>
        <w:t>Early graft-loss After Kidney Transplantation: Risk factors and consequences</w:t>
      </w:r>
      <w:r w:rsidR="008F6706" w:rsidRPr="00A75620">
        <w:rPr>
          <w:lang w:val="en-US"/>
        </w:rPr>
        <w:t xml:space="preserve">, M.O. Hamed </w:t>
      </w:r>
      <w:r w:rsidR="008F6706" w:rsidRPr="00A75620">
        <w:rPr>
          <w:i/>
          <w:iCs/>
          <w:lang w:val="en-US"/>
        </w:rPr>
        <w:t>et al</w:t>
      </w:r>
      <w:r w:rsidR="008F6706" w:rsidRPr="00A75620">
        <w:rPr>
          <w:lang w:val="en-US"/>
        </w:rPr>
        <w:t xml:space="preserve">., International Journal of Transplantation, 2015: 1632-1643 </w:t>
      </w:r>
    </w:p>
    <w:p w14:paraId="722BE305" w14:textId="77777777" w:rsidR="008F6706" w:rsidRDefault="00A75620" w:rsidP="00A75620">
      <w:pPr>
        <w:rPr>
          <w:i/>
          <w:iCs/>
          <w:lang w:val="en-US"/>
        </w:rPr>
      </w:pPr>
      <w:r w:rsidRPr="00A75620">
        <w:rPr>
          <w:iCs/>
          <w:lang w:val="en-US"/>
        </w:rPr>
        <w:t>[11]</w:t>
      </w:r>
      <w:r>
        <w:rPr>
          <w:i/>
          <w:iCs/>
          <w:lang w:val="en-US"/>
        </w:rPr>
        <w:t xml:space="preserve"> </w:t>
      </w:r>
      <w:r w:rsidR="008F6706" w:rsidRPr="00A75620">
        <w:rPr>
          <w:i/>
          <w:iCs/>
          <w:lang w:val="en-US"/>
        </w:rPr>
        <w:t>Effect of waiting time on renal transplant outcomes</w:t>
      </w:r>
      <w:r w:rsidR="008F6706" w:rsidRPr="00A75620">
        <w:rPr>
          <w:lang w:val="en-US"/>
        </w:rPr>
        <w:t xml:space="preserve">, H.U. Meier-Kirsche </w:t>
      </w:r>
      <w:r w:rsidR="008F6706" w:rsidRPr="00A75620">
        <w:rPr>
          <w:i/>
          <w:iCs/>
          <w:lang w:val="en-US"/>
        </w:rPr>
        <w:t xml:space="preserve">et al. </w:t>
      </w:r>
      <w:r w:rsidR="008F6706" w:rsidRPr="00A75620">
        <w:rPr>
          <w:lang w:val="en-US"/>
        </w:rPr>
        <w:t xml:space="preserve">Kidney International, Vol. 58 (200), pp 1311-1317.  </w:t>
      </w:r>
      <w:r w:rsidR="008F6706" w:rsidRPr="00A75620">
        <w:rPr>
          <w:i/>
          <w:iCs/>
          <w:lang w:val="en-US"/>
        </w:rPr>
        <w:t xml:space="preserve"> </w:t>
      </w:r>
    </w:p>
    <w:p w14:paraId="18B12F3B" w14:textId="77777777" w:rsidR="00D06D36" w:rsidRDefault="00D06D36" w:rsidP="00A75620">
      <w:pPr>
        <w:rPr>
          <w:lang w:val="en-US"/>
        </w:rPr>
      </w:pPr>
      <w:r>
        <w:rPr>
          <w:iCs/>
          <w:lang w:val="en-US"/>
        </w:rPr>
        <w:t xml:space="preserve">[12] </w:t>
      </w:r>
      <w:r w:rsidRPr="00D06D36">
        <w:rPr>
          <w:i/>
          <w:lang w:val="en-US"/>
        </w:rPr>
        <w:t>Economic evaluation of organ transplantations - a systematic literature review</w:t>
      </w:r>
      <w:r w:rsidRPr="00D06D36">
        <w:rPr>
          <w:lang w:val="en-US"/>
        </w:rPr>
        <w:t xml:space="preserve"> </w:t>
      </w:r>
      <w:r>
        <w:rPr>
          <w:lang w:val="en-US"/>
        </w:rPr>
        <w:t xml:space="preserve">, Jarl, J. &amp; Gerdtham, U. (2012) </w:t>
      </w:r>
      <w:r w:rsidRPr="00D06D36">
        <w:rPr>
          <w:lang w:val="en-US"/>
        </w:rPr>
        <w:t>Nordic Journal of Health Economics 1(1): 61-82</w:t>
      </w:r>
    </w:p>
    <w:p w14:paraId="606D9A03" w14:textId="77777777" w:rsidR="00D06D36" w:rsidRDefault="00D06D36" w:rsidP="00A75620">
      <w:pPr>
        <w:rPr>
          <w:lang w:val="en-US"/>
        </w:rPr>
      </w:pPr>
      <w:r>
        <w:rPr>
          <w:lang w:val="en-US"/>
        </w:rPr>
        <w:t xml:space="preserve">[13] </w:t>
      </w:r>
      <w:r w:rsidRPr="00D06D36">
        <w:rPr>
          <w:i/>
          <w:lang w:val="en-US"/>
        </w:rPr>
        <w:t xml:space="preserve">Renal </w:t>
      </w:r>
      <w:r>
        <w:rPr>
          <w:i/>
          <w:lang w:val="en-US"/>
        </w:rPr>
        <w:t>transplantation vs hemodialysis</w:t>
      </w:r>
      <w:r w:rsidRPr="00D06D36">
        <w:rPr>
          <w:i/>
          <w:lang w:val="en-US"/>
        </w:rPr>
        <w:t>: cost-effectiveness analysis</w:t>
      </w:r>
      <w:r>
        <w:rPr>
          <w:i/>
          <w:lang w:val="en-US"/>
        </w:rPr>
        <w:t>,</w:t>
      </w:r>
      <w:r w:rsidRPr="00D06D36">
        <w:rPr>
          <w:lang w:val="en-US"/>
        </w:rPr>
        <w:t xml:space="preserve"> Per</w:t>
      </w:r>
      <w:r>
        <w:rPr>
          <w:lang w:val="en-US"/>
        </w:rPr>
        <w:t>ovic, S. &amp; Jankovic, S. (2009)</w:t>
      </w:r>
      <w:r w:rsidRPr="00D06D36">
        <w:rPr>
          <w:lang w:val="en-US"/>
        </w:rPr>
        <w:t xml:space="preserve"> Vojnosanit Pregl 66(8) : 639-644</w:t>
      </w:r>
    </w:p>
    <w:p w14:paraId="67BA4C0A" w14:textId="77777777" w:rsidR="00D06D36" w:rsidRDefault="00D06D36" w:rsidP="00A75620">
      <w:pPr>
        <w:rPr>
          <w:lang w:val="en-US"/>
        </w:rPr>
      </w:pPr>
      <w:r>
        <w:rPr>
          <w:lang w:val="en-US"/>
        </w:rPr>
        <w:t xml:space="preserve">[14] </w:t>
      </w:r>
      <w:r w:rsidRPr="00D06D36">
        <w:rPr>
          <w:i/>
          <w:lang w:val="en-US"/>
        </w:rPr>
        <w:t>Renal replacement therapy in Sweden</w:t>
      </w:r>
      <w:r>
        <w:rPr>
          <w:i/>
          <w:lang w:val="en-US"/>
        </w:rPr>
        <w:t>,</w:t>
      </w:r>
      <w:r w:rsidRPr="00D06D36">
        <w:rPr>
          <w:lang w:val="en-US"/>
        </w:rPr>
        <w:t xml:space="preserve"> Schon, S., Ekberg, H., Wikström, B.</w:t>
      </w:r>
      <w:r>
        <w:rPr>
          <w:lang w:val="en-US"/>
        </w:rPr>
        <w:t xml:space="preserve">, Odén, A. &amp; Ahlmén, J. (2004) </w:t>
      </w:r>
      <w:r w:rsidRPr="00D06D36">
        <w:rPr>
          <w:lang w:val="en-US"/>
        </w:rPr>
        <w:t>Rena</w:t>
      </w:r>
      <w:r>
        <w:rPr>
          <w:lang w:val="en-US"/>
        </w:rPr>
        <w:t>l replacement therapy in Sweden</w:t>
      </w:r>
      <w:r w:rsidRPr="00D06D36">
        <w:rPr>
          <w:lang w:val="en-US"/>
        </w:rPr>
        <w:t xml:space="preserve"> Scand J Urol Nephrol 38: 332–9</w:t>
      </w:r>
    </w:p>
    <w:p w14:paraId="71040B80" w14:textId="77777777" w:rsidR="00247A1C" w:rsidRPr="00656E62" w:rsidRDefault="00247A1C" w:rsidP="00656E62">
      <w:pPr>
        <w:rPr>
          <w:lang w:val="en-US"/>
        </w:rPr>
      </w:pPr>
      <w:r>
        <w:rPr>
          <w:lang w:val="en-US"/>
        </w:rPr>
        <w:t xml:space="preserve">[15] </w:t>
      </w:r>
      <w:r w:rsidRPr="00656E62">
        <w:rPr>
          <w:i/>
          <w:lang w:val="en-US"/>
        </w:rPr>
        <w:t>Comparison of hemodialysis and peritoneal dialysis--a cost-utility analysis</w:t>
      </w:r>
      <w:r w:rsidR="00656E62">
        <w:rPr>
          <w:lang w:val="en-US"/>
        </w:rPr>
        <w:t xml:space="preserve">, </w:t>
      </w:r>
      <w:r w:rsidR="00656E62" w:rsidRPr="00656E62">
        <w:rPr>
          <w:lang w:val="en-US"/>
        </w:rPr>
        <w:t>K Sennfalt, M Magnusson, P Carlsson</w:t>
      </w:r>
      <w:r w:rsidR="00656E62">
        <w:rPr>
          <w:lang w:val="en-US"/>
        </w:rPr>
        <w:t xml:space="preserve">, </w:t>
      </w:r>
      <w:r w:rsidR="00656E62" w:rsidRPr="00656E62">
        <w:rPr>
          <w:lang w:val="en-US"/>
        </w:rPr>
        <w:t>Perit Dial Int 2002 Jan-Feb </w:t>
      </w:r>
      <w:r w:rsidR="00656E62" w:rsidRPr="00656E62">
        <w:rPr>
          <w:b/>
          <w:lang w:val="en-US"/>
        </w:rPr>
        <w:t>22</w:t>
      </w:r>
      <w:r w:rsidR="00656E62">
        <w:rPr>
          <w:lang w:val="en-US"/>
        </w:rPr>
        <w:t xml:space="preserve"> (</w:t>
      </w:r>
      <w:r w:rsidR="00656E62" w:rsidRPr="00656E62">
        <w:rPr>
          <w:lang w:val="en-US"/>
        </w:rPr>
        <w:t>39-47</w:t>
      </w:r>
      <w:r w:rsidR="00656E62">
        <w:rPr>
          <w:lang w:val="en-US"/>
        </w:rPr>
        <w:t>)</w:t>
      </w:r>
    </w:p>
    <w:p w14:paraId="433A0E9B" w14:textId="77777777" w:rsidR="00247A1C" w:rsidRPr="00D06D36" w:rsidRDefault="00247A1C" w:rsidP="00A75620">
      <w:pPr>
        <w:rPr>
          <w:lang w:val="en-US"/>
        </w:rPr>
      </w:pPr>
    </w:p>
    <w:p w14:paraId="254F39BC" w14:textId="77777777" w:rsidR="00E0585F" w:rsidRPr="00A75620" w:rsidRDefault="00E0585F" w:rsidP="00E0585F">
      <w:pPr>
        <w:rPr>
          <w:lang w:val="en-US"/>
        </w:rPr>
      </w:pPr>
    </w:p>
    <w:sectPr w:rsidR="00E0585F" w:rsidRPr="00A756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38F0A" w14:textId="77777777" w:rsidR="00C2217E" w:rsidRDefault="00C2217E" w:rsidP="00EF4135">
      <w:pPr>
        <w:spacing w:after="0" w:line="240" w:lineRule="auto"/>
      </w:pPr>
      <w:r>
        <w:separator/>
      </w:r>
    </w:p>
  </w:endnote>
  <w:endnote w:type="continuationSeparator" w:id="0">
    <w:p w14:paraId="4B735DE9" w14:textId="77777777" w:rsidR="00C2217E" w:rsidRDefault="00C2217E" w:rsidP="00EF4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DAF45" w14:textId="77777777" w:rsidR="00C2217E" w:rsidRDefault="00C2217E" w:rsidP="00EF4135">
      <w:pPr>
        <w:spacing w:after="0" w:line="240" w:lineRule="auto"/>
      </w:pPr>
      <w:r>
        <w:separator/>
      </w:r>
    </w:p>
  </w:footnote>
  <w:footnote w:type="continuationSeparator" w:id="0">
    <w:p w14:paraId="005E000B" w14:textId="77777777" w:rsidR="00C2217E" w:rsidRDefault="00C2217E" w:rsidP="00EF4135">
      <w:pPr>
        <w:spacing w:after="0" w:line="240" w:lineRule="auto"/>
      </w:pPr>
      <w:r>
        <w:continuationSeparator/>
      </w:r>
    </w:p>
  </w:footnote>
  <w:footnote w:id="1">
    <w:p w14:paraId="665070F0" w14:textId="77777777" w:rsidR="004A021B" w:rsidRDefault="004A021B">
      <w:pPr>
        <w:pStyle w:val="Fotnotstext"/>
      </w:pPr>
      <w:r>
        <w:rPr>
          <w:rStyle w:val="Fotnotsreferens"/>
        </w:rPr>
        <w:footnoteRef/>
      </w:r>
      <w:r>
        <w:t xml:space="preserve"> QALY är ett sammansatt mått av effekten av en behandling på livskvalitet och patientens överlevnad. Måttet är konstruerat så att ett levnadsår multipliceras med en livskvalitetsvikt mellan noll och ett, där 0 motsvarar döden och ett motsvarar full hälsa. Lever man 10 år med full hälsa motsvarar detta 10 QALYs. Lever man däremot 10 år med 50 procent livskvalitet motsvarar det 5 QALYs. På detta sätt fångas både livslängd och livskvalitet vilket gör det möjligt att jämföra behandlingar från olika terapiområden. Det ska noteras att livskvalitet är ett begrepp som är mycket svårt att mäta då olika individer kan uppfatta likvärdiga livskvaliteter på olika sätt.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4180A"/>
    <w:multiLevelType w:val="multilevel"/>
    <w:tmpl w:val="FDD0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C85646"/>
    <w:multiLevelType w:val="hybridMultilevel"/>
    <w:tmpl w:val="FE90A6DE"/>
    <w:lvl w:ilvl="0" w:tplc="255CB86C">
      <w:start w:val="1"/>
      <w:numFmt w:val="bullet"/>
      <w:lvlText w:val="•"/>
      <w:lvlJc w:val="left"/>
      <w:pPr>
        <w:tabs>
          <w:tab w:val="num" w:pos="720"/>
        </w:tabs>
        <w:ind w:left="720" w:hanging="360"/>
      </w:pPr>
      <w:rPr>
        <w:rFonts w:ascii="Arial" w:hAnsi="Arial" w:hint="default"/>
      </w:rPr>
    </w:lvl>
    <w:lvl w:ilvl="1" w:tplc="B4021F16" w:tentative="1">
      <w:start w:val="1"/>
      <w:numFmt w:val="bullet"/>
      <w:lvlText w:val="•"/>
      <w:lvlJc w:val="left"/>
      <w:pPr>
        <w:tabs>
          <w:tab w:val="num" w:pos="1440"/>
        </w:tabs>
        <w:ind w:left="1440" w:hanging="360"/>
      </w:pPr>
      <w:rPr>
        <w:rFonts w:ascii="Arial" w:hAnsi="Arial" w:hint="default"/>
      </w:rPr>
    </w:lvl>
    <w:lvl w:ilvl="2" w:tplc="FCF852E2" w:tentative="1">
      <w:start w:val="1"/>
      <w:numFmt w:val="bullet"/>
      <w:lvlText w:val="•"/>
      <w:lvlJc w:val="left"/>
      <w:pPr>
        <w:tabs>
          <w:tab w:val="num" w:pos="2160"/>
        </w:tabs>
        <w:ind w:left="2160" w:hanging="360"/>
      </w:pPr>
      <w:rPr>
        <w:rFonts w:ascii="Arial" w:hAnsi="Arial" w:hint="default"/>
      </w:rPr>
    </w:lvl>
    <w:lvl w:ilvl="3" w:tplc="29B6B254" w:tentative="1">
      <w:start w:val="1"/>
      <w:numFmt w:val="bullet"/>
      <w:lvlText w:val="•"/>
      <w:lvlJc w:val="left"/>
      <w:pPr>
        <w:tabs>
          <w:tab w:val="num" w:pos="2880"/>
        </w:tabs>
        <w:ind w:left="2880" w:hanging="360"/>
      </w:pPr>
      <w:rPr>
        <w:rFonts w:ascii="Arial" w:hAnsi="Arial" w:hint="default"/>
      </w:rPr>
    </w:lvl>
    <w:lvl w:ilvl="4" w:tplc="ED0471F2" w:tentative="1">
      <w:start w:val="1"/>
      <w:numFmt w:val="bullet"/>
      <w:lvlText w:val="•"/>
      <w:lvlJc w:val="left"/>
      <w:pPr>
        <w:tabs>
          <w:tab w:val="num" w:pos="3600"/>
        </w:tabs>
        <w:ind w:left="3600" w:hanging="360"/>
      </w:pPr>
      <w:rPr>
        <w:rFonts w:ascii="Arial" w:hAnsi="Arial" w:hint="default"/>
      </w:rPr>
    </w:lvl>
    <w:lvl w:ilvl="5" w:tplc="EBBE9D72" w:tentative="1">
      <w:start w:val="1"/>
      <w:numFmt w:val="bullet"/>
      <w:lvlText w:val="•"/>
      <w:lvlJc w:val="left"/>
      <w:pPr>
        <w:tabs>
          <w:tab w:val="num" w:pos="4320"/>
        </w:tabs>
        <w:ind w:left="4320" w:hanging="360"/>
      </w:pPr>
      <w:rPr>
        <w:rFonts w:ascii="Arial" w:hAnsi="Arial" w:hint="default"/>
      </w:rPr>
    </w:lvl>
    <w:lvl w:ilvl="6" w:tplc="AB4AB134" w:tentative="1">
      <w:start w:val="1"/>
      <w:numFmt w:val="bullet"/>
      <w:lvlText w:val="•"/>
      <w:lvlJc w:val="left"/>
      <w:pPr>
        <w:tabs>
          <w:tab w:val="num" w:pos="5040"/>
        </w:tabs>
        <w:ind w:left="5040" w:hanging="360"/>
      </w:pPr>
      <w:rPr>
        <w:rFonts w:ascii="Arial" w:hAnsi="Arial" w:hint="default"/>
      </w:rPr>
    </w:lvl>
    <w:lvl w:ilvl="7" w:tplc="9502E2DE" w:tentative="1">
      <w:start w:val="1"/>
      <w:numFmt w:val="bullet"/>
      <w:lvlText w:val="•"/>
      <w:lvlJc w:val="left"/>
      <w:pPr>
        <w:tabs>
          <w:tab w:val="num" w:pos="5760"/>
        </w:tabs>
        <w:ind w:left="5760" w:hanging="360"/>
      </w:pPr>
      <w:rPr>
        <w:rFonts w:ascii="Arial" w:hAnsi="Arial" w:hint="default"/>
      </w:rPr>
    </w:lvl>
    <w:lvl w:ilvl="8" w:tplc="ECC273F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85F"/>
    <w:rsid w:val="00001DD5"/>
    <w:rsid w:val="0000407A"/>
    <w:rsid w:val="00025818"/>
    <w:rsid w:val="000368CB"/>
    <w:rsid w:val="00040ADD"/>
    <w:rsid w:val="00045196"/>
    <w:rsid w:val="00050F0D"/>
    <w:rsid w:val="0006370F"/>
    <w:rsid w:val="00072D98"/>
    <w:rsid w:val="000801D4"/>
    <w:rsid w:val="00083A9A"/>
    <w:rsid w:val="00084206"/>
    <w:rsid w:val="000B722F"/>
    <w:rsid w:val="000C1F1C"/>
    <w:rsid w:val="000D285D"/>
    <w:rsid w:val="000D4D82"/>
    <w:rsid w:val="000E4F6F"/>
    <w:rsid w:val="00177014"/>
    <w:rsid w:val="001D746C"/>
    <w:rsid w:val="001E5465"/>
    <w:rsid w:val="00235910"/>
    <w:rsid w:val="00235BEA"/>
    <w:rsid w:val="00247A1C"/>
    <w:rsid w:val="00267071"/>
    <w:rsid w:val="00280680"/>
    <w:rsid w:val="00282480"/>
    <w:rsid w:val="00296917"/>
    <w:rsid w:val="002D0F7D"/>
    <w:rsid w:val="002D2E89"/>
    <w:rsid w:val="002D3BF9"/>
    <w:rsid w:val="002E5967"/>
    <w:rsid w:val="003005EF"/>
    <w:rsid w:val="00307D46"/>
    <w:rsid w:val="00311887"/>
    <w:rsid w:val="00344C1C"/>
    <w:rsid w:val="003453BD"/>
    <w:rsid w:val="00345E5D"/>
    <w:rsid w:val="00350073"/>
    <w:rsid w:val="0037111C"/>
    <w:rsid w:val="00371887"/>
    <w:rsid w:val="00373A2B"/>
    <w:rsid w:val="00396328"/>
    <w:rsid w:val="003A1997"/>
    <w:rsid w:val="003B7F14"/>
    <w:rsid w:val="003E5512"/>
    <w:rsid w:val="003E6C8B"/>
    <w:rsid w:val="00412AE3"/>
    <w:rsid w:val="004337A9"/>
    <w:rsid w:val="00450299"/>
    <w:rsid w:val="004574FF"/>
    <w:rsid w:val="0047572A"/>
    <w:rsid w:val="00497AE3"/>
    <w:rsid w:val="004A021B"/>
    <w:rsid w:val="004D1206"/>
    <w:rsid w:val="004D2A53"/>
    <w:rsid w:val="004D53DE"/>
    <w:rsid w:val="004E117A"/>
    <w:rsid w:val="004F1A6C"/>
    <w:rsid w:val="005004EE"/>
    <w:rsid w:val="00533B0F"/>
    <w:rsid w:val="00536DAD"/>
    <w:rsid w:val="00543199"/>
    <w:rsid w:val="0059700E"/>
    <w:rsid w:val="005C4AFD"/>
    <w:rsid w:val="005F24B4"/>
    <w:rsid w:val="00616551"/>
    <w:rsid w:val="006330F6"/>
    <w:rsid w:val="00641273"/>
    <w:rsid w:val="00656E62"/>
    <w:rsid w:val="006776C1"/>
    <w:rsid w:val="00682F99"/>
    <w:rsid w:val="006B5D96"/>
    <w:rsid w:val="006C2E69"/>
    <w:rsid w:val="006E6161"/>
    <w:rsid w:val="00723C56"/>
    <w:rsid w:val="0072557C"/>
    <w:rsid w:val="00770C34"/>
    <w:rsid w:val="00786A1C"/>
    <w:rsid w:val="00794F9B"/>
    <w:rsid w:val="007C1104"/>
    <w:rsid w:val="007E7FB6"/>
    <w:rsid w:val="007F1DF6"/>
    <w:rsid w:val="00815C5C"/>
    <w:rsid w:val="00823E90"/>
    <w:rsid w:val="008269A5"/>
    <w:rsid w:val="00826DA8"/>
    <w:rsid w:val="00836B34"/>
    <w:rsid w:val="008419C4"/>
    <w:rsid w:val="008B130E"/>
    <w:rsid w:val="008B78FC"/>
    <w:rsid w:val="008D5D90"/>
    <w:rsid w:val="008E5402"/>
    <w:rsid w:val="008F4167"/>
    <w:rsid w:val="008F6706"/>
    <w:rsid w:val="00905505"/>
    <w:rsid w:val="00912014"/>
    <w:rsid w:val="009330B7"/>
    <w:rsid w:val="009421E2"/>
    <w:rsid w:val="009520BD"/>
    <w:rsid w:val="00956E70"/>
    <w:rsid w:val="009574A7"/>
    <w:rsid w:val="00963E58"/>
    <w:rsid w:val="00964B20"/>
    <w:rsid w:val="00966865"/>
    <w:rsid w:val="00985D1F"/>
    <w:rsid w:val="009B0EB1"/>
    <w:rsid w:val="009B75EE"/>
    <w:rsid w:val="00A065EA"/>
    <w:rsid w:val="00A371F7"/>
    <w:rsid w:val="00A37AFC"/>
    <w:rsid w:val="00A502DE"/>
    <w:rsid w:val="00A63047"/>
    <w:rsid w:val="00A6590E"/>
    <w:rsid w:val="00A75620"/>
    <w:rsid w:val="00A758FE"/>
    <w:rsid w:val="00A86EFC"/>
    <w:rsid w:val="00AA6D2E"/>
    <w:rsid w:val="00B23A7E"/>
    <w:rsid w:val="00B5051A"/>
    <w:rsid w:val="00B54B02"/>
    <w:rsid w:val="00B6159C"/>
    <w:rsid w:val="00B85433"/>
    <w:rsid w:val="00B956D7"/>
    <w:rsid w:val="00BB1F21"/>
    <w:rsid w:val="00BB5F67"/>
    <w:rsid w:val="00C05302"/>
    <w:rsid w:val="00C16444"/>
    <w:rsid w:val="00C2217E"/>
    <w:rsid w:val="00C6649D"/>
    <w:rsid w:val="00C71441"/>
    <w:rsid w:val="00C87E17"/>
    <w:rsid w:val="00C92175"/>
    <w:rsid w:val="00CA0A47"/>
    <w:rsid w:val="00CC5AE3"/>
    <w:rsid w:val="00CD2393"/>
    <w:rsid w:val="00CF7773"/>
    <w:rsid w:val="00D06D36"/>
    <w:rsid w:val="00D22039"/>
    <w:rsid w:val="00D240B0"/>
    <w:rsid w:val="00D26BBC"/>
    <w:rsid w:val="00D34F7A"/>
    <w:rsid w:val="00D5207E"/>
    <w:rsid w:val="00D7459E"/>
    <w:rsid w:val="00D75898"/>
    <w:rsid w:val="00D90CEE"/>
    <w:rsid w:val="00E0517B"/>
    <w:rsid w:val="00E0585F"/>
    <w:rsid w:val="00E2677E"/>
    <w:rsid w:val="00E34C94"/>
    <w:rsid w:val="00E65D70"/>
    <w:rsid w:val="00E846C2"/>
    <w:rsid w:val="00EC25B0"/>
    <w:rsid w:val="00EF4135"/>
    <w:rsid w:val="00F0798B"/>
    <w:rsid w:val="00F23D7D"/>
    <w:rsid w:val="00F43653"/>
    <w:rsid w:val="00F514B4"/>
    <w:rsid w:val="00F84A58"/>
    <w:rsid w:val="00F90959"/>
    <w:rsid w:val="00FB0BC1"/>
    <w:rsid w:val="00FC099F"/>
    <w:rsid w:val="00FF5B1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058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058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058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CA0A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0585F"/>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E0585F"/>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E0585F"/>
    <w:rPr>
      <w:rFonts w:asciiTheme="majorHAnsi" w:eastAsiaTheme="majorEastAsia" w:hAnsiTheme="majorHAnsi" w:cstheme="majorBidi"/>
      <w:color w:val="1F3763" w:themeColor="accent1" w:themeShade="7F"/>
      <w:sz w:val="24"/>
      <w:szCs w:val="24"/>
    </w:rPr>
  </w:style>
  <w:style w:type="paragraph" w:styleId="Innehllsfrteckningsrubrik">
    <w:name w:val="TOC Heading"/>
    <w:basedOn w:val="Rubrik1"/>
    <w:next w:val="Normal"/>
    <w:uiPriority w:val="39"/>
    <w:unhideWhenUsed/>
    <w:qFormat/>
    <w:rsid w:val="00D75898"/>
    <w:pPr>
      <w:outlineLvl w:val="9"/>
    </w:pPr>
    <w:rPr>
      <w:lang w:val="en-US" w:eastAsia="en-US"/>
    </w:rPr>
  </w:style>
  <w:style w:type="paragraph" w:styleId="Innehll1">
    <w:name w:val="toc 1"/>
    <w:basedOn w:val="Normal"/>
    <w:next w:val="Normal"/>
    <w:autoRedefine/>
    <w:uiPriority w:val="39"/>
    <w:unhideWhenUsed/>
    <w:rsid w:val="00D75898"/>
    <w:pPr>
      <w:spacing w:after="100"/>
    </w:pPr>
  </w:style>
  <w:style w:type="paragraph" w:styleId="Innehll2">
    <w:name w:val="toc 2"/>
    <w:basedOn w:val="Normal"/>
    <w:next w:val="Normal"/>
    <w:autoRedefine/>
    <w:uiPriority w:val="39"/>
    <w:unhideWhenUsed/>
    <w:rsid w:val="00D75898"/>
    <w:pPr>
      <w:spacing w:after="100"/>
      <w:ind w:left="220"/>
    </w:pPr>
  </w:style>
  <w:style w:type="paragraph" w:styleId="Innehll3">
    <w:name w:val="toc 3"/>
    <w:basedOn w:val="Normal"/>
    <w:next w:val="Normal"/>
    <w:autoRedefine/>
    <w:uiPriority w:val="39"/>
    <w:unhideWhenUsed/>
    <w:rsid w:val="00D75898"/>
    <w:pPr>
      <w:spacing w:after="100"/>
      <w:ind w:left="440"/>
    </w:pPr>
  </w:style>
  <w:style w:type="character" w:styleId="Hyperlnk">
    <w:name w:val="Hyperlink"/>
    <w:basedOn w:val="Standardstycketeckensnitt"/>
    <w:uiPriority w:val="99"/>
    <w:unhideWhenUsed/>
    <w:rsid w:val="00D75898"/>
    <w:rPr>
      <w:color w:val="0563C1" w:themeColor="hyperlink"/>
      <w:u w:val="single"/>
    </w:rPr>
  </w:style>
  <w:style w:type="paragraph" w:styleId="Rubrik">
    <w:name w:val="Title"/>
    <w:basedOn w:val="Normal"/>
    <w:next w:val="Normal"/>
    <w:link w:val="RubrikChar"/>
    <w:uiPriority w:val="10"/>
    <w:qFormat/>
    <w:rsid w:val="002D2E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D2E89"/>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rdstycketeckensnitt"/>
    <w:rsid w:val="00A75620"/>
  </w:style>
  <w:style w:type="character" w:styleId="Betoning">
    <w:name w:val="Emphasis"/>
    <w:basedOn w:val="Standardstycketeckensnitt"/>
    <w:uiPriority w:val="20"/>
    <w:qFormat/>
    <w:rsid w:val="00A75620"/>
    <w:rPr>
      <w:i/>
      <w:iCs/>
    </w:rPr>
  </w:style>
  <w:style w:type="paragraph" w:styleId="Normalwebb">
    <w:name w:val="Normal (Web)"/>
    <w:basedOn w:val="Normal"/>
    <w:uiPriority w:val="99"/>
    <w:unhideWhenUsed/>
    <w:rsid w:val="0059700E"/>
    <w:pPr>
      <w:spacing w:before="100" w:beforeAutospacing="1" w:after="100" w:afterAutospacing="1" w:line="240" w:lineRule="auto"/>
    </w:pPr>
    <w:rPr>
      <w:rFonts w:ascii="Times New Roman" w:hAnsi="Times New Roman" w:cs="Times New Roman"/>
      <w:sz w:val="24"/>
      <w:szCs w:val="24"/>
    </w:rPr>
  </w:style>
  <w:style w:type="table" w:styleId="Tabellrutnt">
    <w:name w:val="Table Grid"/>
    <w:basedOn w:val="Normaltabell"/>
    <w:uiPriority w:val="39"/>
    <w:rsid w:val="000D4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uiPriority w:val="9"/>
    <w:rsid w:val="00CA0A47"/>
    <w:rPr>
      <w:rFonts w:asciiTheme="majorHAnsi" w:eastAsiaTheme="majorEastAsia" w:hAnsiTheme="majorHAnsi" w:cstheme="majorBidi"/>
      <w:i/>
      <w:iCs/>
      <w:color w:val="2F5496" w:themeColor="accent1" w:themeShade="BF"/>
    </w:rPr>
  </w:style>
  <w:style w:type="character" w:customStyle="1" w:styleId="cit-auth">
    <w:name w:val="cit-auth"/>
    <w:basedOn w:val="Standardstycketeckensnitt"/>
    <w:rsid w:val="00656E62"/>
  </w:style>
  <w:style w:type="character" w:customStyle="1" w:styleId="cit-sep">
    <w:name w:val="cit-sep"/>
    <w:basedOn w:val="Standardstycketeckensnitt"/>
    <w:rsid w:val="00656E62"/>
  </w:style>
  <w:style w:type="character" w:styleId="HTML-citat">
    <w:name w:val="HTML Cite"/>
    <w:basedOn w:val="Standardstycketeckensnitt"/>
    <w:uiPriority w:val="99"/>
    <w:semiHidden/>
    <w:unhideWhenUsed/>
    <w:rsid w:val="00656E62"/>
    <w:rPr>
      <w:i/>
      <w:iCs/>
    </w:rPr>
  </w:style>
  <w:style w:type="character" w:customStyle="1" w:styleId="cit-print-date">
    <w:name w:val="cit-print-date"/>
    <w:basedOn w:val="Standardstycketeckensnitt"/>
    <w:rsid w:val="00656E62"/>
  </w:style>
  <w:style w:type="character" w:customStyle="1" w:styleId="cit-vol">
    <w:name w:val="cit-vol"/>
    <w:basedOn w:val="Standardstycketeckensnitt"/>
    <w:rsid w:val="00656E62"/>
  </w:style>
  <w:style w:type="character" w:customStyle="1" w:styleId="cit-first-page">
    <w:name w:val="cit-first-page"/>
    <w:basedOn w:val="Standardstycketeckensnitt"/>
    <w:rsid w:val="00656E62"/>
  </w:style>
  <w:style w:type="character" w:customStyle="1" w:styleId="cit-last-page">
    <w:name w:val="cit-last-page"/>
    <w:basedOn w:val="Standardstycketeckensnitt"/>
    <w:rsid w:val="00656E62"/>
  </w:style>
  <w:style w:type="paragraph" w:styleId="Ballongtext">
    <w:name w:val="Balloon Text"/>
    <w:basedOn w:val="Normal"/>
    <w:link w:val="BallongtextChar"/>
    <w:uiPriority w:val="99"/>
    <w:semiHidden/>
    <w:unhideWhenUsed/>
    <w:rsid w:val="00BB5F6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B5F67"/>
    <w:rPr>
      <w:rFonts w:ascii="Segoe UI" w:hAnsi="Segoe UI" w:cs="Segoe UI"/>
      <w:sz w:val="18"/>
      <w:szCs w:val="18"/>
    </w:rPr>
  </w:style>
  <w:style w:type="paragraph" w:styleId="Fotnotstext">
    <w:name w:val="footnote text"/>
    <w:basedOn w:val="Normal"/>
    <w:link w:val="FotnotstextChar"/>
    <w:uiPriority w:val="99"/>
    <w:semiHidden/>
    <w:unhideWhenUsed/>
    <w:rsid w:val="00EF4135"/>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F4135"/>
    <w:rPr>
      <w:sz w:val="20"/>
      <w:szCs w:val="20"/>
    </w:rPr>
  </w:style>
  <w:style w:type="character" w:styleId="Fotnotsreferens">
    <w:name w:val="footnote reference"/>
    <w:basedOn w:val="Standardstycketeckensnitt"/>
    <w:uiPriority w:val="99"/>
    <w:semiHidden/>
    <w:unhideWhenUsed/>
    <w:rsid w:val="00EF4135"/>
    <w:rPr>
      <w:vertAlign w:val="superscript"/>
    </w:rPr>
  </w:style>
  <w:style w:type="character" w:styleId="Kommentarsreferens">
    <w:name w:val="annotation reference"/>
    <w:basedOn w:val="Standardstycketeckensnitt"/>
    <w:uiPriority w:val="99"/>
    <w:semiHidden/>
    <w:unhideWhenUsed/>
    <w:rsid w:val="008D5D90"/>
    <w:rPr>
      <w:sz w:val="16"/>
      <w:szCs w:val="16"/>
    </w:rPr>
  </w:style>
  <w:style w:type="paragraph" w:styleId="Kommentarer">
    <w:name w:val="annotation text"/>
    <w:basedOn w:val="Normal"/>
    <w:link w:val="KommentarerChar"/>
    <w:uiPriority w:val="99"/>
    <w:semiHidden/>
    <w:unhideWhenUsed/>
    <w:rsid w:val="008D5D90"/>
    <w:pPr>
      <w:spacing w:line="240" w:lineRule="auto"/>
    </w:pPr>
    <w:rPr>
      <w:sz w:val="20"/>
      <w:szCs w:val="20"/>
    </w:rPr>
  </w:style>
  <w:style w:type="character" w:customStyle="1" w:styleId="KommentarerChar">
    <w:name w:val="Kommentarer Char"/>
    <w:basedOn w:val="Standardstycketeckensnitt"/>
    <w:link w:val="Kommentarer"/>
    <w:uiPriority w:val="99"/>
    <w:semiHidden/>
    <w:rsid w:val="008D5D90"/>
    <w:rPr>
      <w:sz w:val="20"/>
      <w:szCs w:val="20"/>
    </w:rPr>
  </w:style>
  <w:style w:type="paragraph" w:styleId="Kommentarsmne">
    <w:name w:val="annotation subject"/>
    <w:basedOn w:val="Kommentarer"/>
    <w:next w:val="Kommentarer"/>
    <w:link w:val="KommentarsmneChar"/>
    <w:uiPriority w:val="99"/>
    <w:semiHidden/>
    <w:unhideWhenUsed/>
    <w:rsid w:val="008D5D90"/>
    <w:rPr>
      <w:b/>
      <w:bCs/>
    </w:rPr>
  </w:style>
  <w:style w:type="character" w:customStyle="1" w:styleId="KommentarsmneChar">
    <w:name w:val="Kommentarsämne Char"/>
    <w:basedOn w:val="KommentarerChar"/>
    <w:link w:val="Kommentarsmne"/>
    <w:uiPriority w:val="99"/>
    <w:semiHidden/>
    <w:rsid w:val="008D5D9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058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058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058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CA0A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0585F"/>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E0585F"/>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E0585F"/>
    <w:rPr>
      <w:rFonts w:asciiTheme="majorHAnsi" w:eastAsiaTheme="majorEastAsia" w:hAnsiTheme="majorHAnsi" w:cstheme="majorBidi"/>
      <w:color w:val="1F3763" w:themeColor="accent1" w:themeShade="7F"/>
      <w:sz w:val="24"/>
      <w:szCs w:val="24"/>
    </w:rPr>
  </w:style>
  <w:style w:type="paragraph" w:styleId="Innehllsfrteckningsrubrik">
    <w:name w:val="TOC Heading"/>
    <w:basedOn w:val="Rubrik1"/>
    <w:next w:val="Normal"/>
    <w:uiPriority w:val="39"/>
    <w:unhideWhenUsed/>
    <w:qFormat/>
    <w:rsid w:val="00D75898"/>
    <w:pPr>
      <w:outlineLvl w:val="9"/>
    </w:pPr>
    <w:rPr>
      <w:lang w:val="en-US" w:eastAsia="en-US"/>
    </w:rPr>
  </w:style>
  <w:style w:type="paragraph" w:styleId="Innehll1">
    <w:name w:val="toc 1"/>
    <w:basedOn w:val="Normal"/>
    <w:next w:val="Normal"/>
    <w:autoRedefine/>
    <w:uiPriority w:val="39"/>
    <w:unhideWhenUsed/>
    <w:rsid w:val="00D75898"/>
    <w:pPr>
      <w:spacing w:after="100"/>
    </w:pPr>
  </w:style>
  <w:style w:type="paragraph" w:styleId="Innehll2">
    <w:name w:val="toc 2"/>
    <w:basedOn w:val="Normal"/>
    <w:next w:val="Normal"/>
    <w:autoRedefine/>
    <w:uiPriority w:val="39"/>
    <w:unhideWhenUsed/>
    <w:rsid w:val="00D75898"/>
    <w:pPr>
      <w:spacing w:after="100"/>
      <w:ind w:left="220"/>
    </w:pPr>
  </w:style>
  <w:style w:type="paragraph" w:styleId="Innehll3">
    <w:name w:val="toc 3"/>
    <w:basedOn w:val="Normal"/>
    <w:next w:val="Normal"/>
    <w:autoRedefine/>
    <w:uiPriority w:val="39"/>
    <w:unhideWhenUsed/>
    <w:rsid w:val="00D75898"/>
    <w:pPr>
      <w:spacing w:after="100"/>
      <w:ind w:left="440"/>
    </w:pPr>
  </w:style>
  <w:style w:type="character" w:styleId="Hyperlnk">
    <w:name w:val="Hyperlink"/>
    <w:basedOn w:val="Standardstycketeckensnitt"/>
    <w:uiPriority w:val="99"/>
    <w:unhideWhenUsed/>
    <w:rsid w:val="00D75898"/>
    <w:rPr>
      <w:color w:val="0563C1" w:themeColor="hyperlink"/>
      <w:u w:val="single"/>
    </w:rPr>
  </w:style>
  <w:style w:type="paragraph" w:styleId="Rubrik">
    <w:name w:val="Title"/>
    <w:basedOn w:val="Normal"/>
    <w:next w:val="Normal"/>
    <w:link w:val="RubrikChar"/>
    <w:uiPriority w:val="10"/>
    <w:qFormat/>
    <w:rsid w:val="002D2E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D2E89"/>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rdstycketeckensnitt"/>
    <w:rsid w:val="00A75620"/>
  </w:style>
  <w:style w:type="character" w:styleId="Betoning">
    <w:name w:val="Emphasis"/>
    <w:basedOn w:val="Standardstycketeckensnitt"/>
    <w:uiPriority w:val="20"/>
    <w:qFormat/>
    <w:rsid w:val="00A75620"/>
    <w:rPr>
      <w:i/>
      <w:iCs/>
    </w:rPr>
  </w:style>
  <w:style w:type="paragraph" w:styleId="Normalwebb">
    <w:name w:val="Normal (Web)"/>
    <w:basedOn w:val="Normal"/>
    <w:uiPriority w:val="99"/>
    <w:unhideWhenUsed/>
    <w:rsid w:val="0059700E"/>
    <w:pPr>
      <w:spacing w:before="100" w:beforeAutospacing="1" w:after="100" w:afterAutospacing="1" w:line="240" w:lineRule="auto"/>
    </w:pPr>
    <w:rPr>
      <w:rFonts w:ascii="Times New Roman" w:hAnsi="Times New Roman" w:cs="Times New Roman"/>
      <w:sz w:val="24"/>
      <w:szCs w:val="24"/>
    </w:rPr>
  </w:style>
  <w:style w:type="table" w:styleId="Tabellrutnt">
    <w:name w:val="Table Grid"/>
    <w:basedOn w:val="Normaltabell"/>
    <w:uiPriority w:val="39"/>
    <w:rsid w:val="000D4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uiPriority w:val="9"/>
    <w:rsid w:val="00CA0A47"/>
    <w:rPr>
      <w:rFonts w:asciiTheme="majorHAnsi" w:eastAsiaTheme="majorEastAsia" w:hAnsiTheme="majorHAnsi" w:cstheme="majorBidi"/>
      <w:i/>
      <w:iCs/>
      <w:color w:val="2F5496" w:themeColor="accent1" w:themeShade="BF"/>
    </w:rPr>
  </w:style>
  <w:style w:type="character" w:customStyle="1" w:styleId="cit-auth">
    <w:name w:val="cit-auth"/>
    <w:basedOn w:val="Standardstycketeckensnitt"/>
    <w:rsid w:val="00656E62"/>
  </w:style>
  <w:style w:type="character" w:customStyle="1" w:styleId="cit-sep">
    <w:name w:val="cit-sep"/>
    <w:basedOn w:val="Standardstycketeckensnitt"/>
    <w:rsid w:val="00656E62"/>
  </w:style>
  <w:style w:type="character" w:styleId="HTML-citat">
    <w:name w:val="HTML Cite"/>
    <w:basedOn w:val="Standardstycketeckensnitt"/>
    <w:uiPriority w:val="99"/>
    <w:semiHidden/>
    <w:unhideWhenUsed/>
    <w:rsid w:val="00656E62"/>
    <w:rPr>
      <w:i/>
      <w:iCs/>
    </w:rPr>
  </w:style>
  <w:style w:type="character" w:customStyle="1" w:styleId="cit-print-date">
    <w:name w:val="cit-print-date"/>
    <w:basedOn w:val="Standardstycketeckensnitt"/>
    <w:rsid w:val="00656E62"/>
  </w:style>
  <w:style w:type="character" w:customStyle="1" w:styleId="cit-vol">
    <w:name w:val="cit-vol"/>
    <w:basedOn w:val="Standardstycketeckensnitt"/>
    <w:rsid w:val="00656E62"/>
  </w:style>
  <w:style w:type="character" w:customStyle="1" w:styleId="cit-first-page">
    <w:name w:val="cit-first-page"/>
    <w:basedOn w:val="Standardstycketeckensnitt"/>
    <w:rsid w:val="00656E62"/>
  </w:style>
  <w:style w:type="character" w:customStyle="1" w:styleId="cit-last-page">
    <w:name w:val="cit-last-page"/>
    <w:basedOn w:val="Standardstycketeckensnitt"/>
    <w:rsid w:val="00656E62"/>
  </w:style>
  <w:style w:type="paragraph" w:styleId="Ballongtext">
    <w:name w:val="Balloon Text"/>
    <w:basedOn w:val="Normal"/>
    <w:link w:val="BallongtextChar"/>
    <w:uiPriority w:val="99"/>
    <w:semiHidden/>
    <w:unhideWhenUsed/>
    <w:rsid w:val="00BB5F6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B5F67"/>
    <w:rPr>
      <w:rFonts w:ascii="Segoe UI" w:hAnsi="Segoe UI" w:cs="Segoe UI"/>
      <w:sz w:val="18"/>
      <w:szCs w:val="18"/>
    </w:rPr>
  </w:style>
  <w:style w:type="paragraph" w:styleId="Fotnotstext">
    <w:name w:val="footnote text"/>
    <w:basedOn w:val="Normal"/>
    <w:link w:val="FotnotstextChar"/>
    <w:uiPriority w:val="99"/>
    <w:semiHidden/>
    <w:unhideWhenUsed/>
    <w:rsid w:val="00EF4135"/>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F4135"/>
    <w:rPr>
      <w:sz w:val="20"/>
      <w:szCs w:val="20"/>
    </w:rPr>
  </w:style>
  <w:style w:type="character" w:styleId="Fotnotsreferens">
    <w:name w:val="footnote reference"/>
    <w:basedOn w:val="Standardstycketeckensnitt"/>
    <w:uiPriority w:val="99"/>
    <w:semiHidden/>
    <w:unhideWhenUsed/>
    <w:rsid w:val="00EF4135"/>
    <w:rPr>
      <w:vertAlign w:val="superscript"/>
    </w:rPr>
  </w:style>
  <w:style w:type="character" w:styleId="Kommentarsreferens">
    <w:name w:val="annotation reference"/>
    <w:basedOn w:val="Standardstycketeckensnitt"/>
    <w:uiPriority w:val="99"/>
    <w:semiHidden/>
    <w:unhideWhenUsed/>
    <w:rsid w:val="008D5D90"/>
    <w:rPr>
      <w:sz w:val="16"/>
      <w:szCs w:val="16"/>
    </w:rPr>
  </w:style>
  <w:style w:type="paragraph" w:styleId="Kommentarer">
    <w:name w:val="annotation text"/>
    <w:basedOn w:val="Normal"/>
    <w:link w:val="KommentarerChar"/>
    <w:uiPriority w:val="99"/>
    <w:semiHidden/>
    <w:unhideWhenUsed/>
    <w:rsid w:val="008D5D90"/>
    <w:pPr>
      <w:spacing w:line="240" w:lineRule="auto"/>
    </w:pPr>
    <w:rPr>
      <w:sz w:val="20"/>
      <w:szCs w:val="20"/>
    </w:rPr>
  </w:style>
  <w:style w:type="character" w:customStyle="1" w:styleId="KommentarerChar">
    <w:name w:val="Kommentarer Char"/>
    <w:basedOn w:val="Standardstycketeckensnitt"/>
    <w:link w:val="Kommentarer"/>
    <w:uiPriority w:val="99"/>
    <w:semiHidden/>
    <w:rsid w:val="008D5D90"/>
    <w:rPr>
      <w:sz w:val="20"/>
      <w:szCs w:val="20"/>
    </w:rPr>
  </w:style>
  <w:style w:type="paragraph" w:styleId="Kommentarsmne">
    <w:name w:val="annotation subject"/>
    <w:basedOn w:val="Kommentarer"/>
    <w:next w:val="Kommentarer"/>
    <w:link w:val="KommentarsmneChar"/>
    <w:uiPriority w:val="99"/>
    <w:semiHidden/>
    <w:unhideWhenUsed/>
    <w:rsid w:val="008D5D90"/>
    <w:rPr>
      <w:b/>
      <w:bCs/>
    </w:rPr>
  </w:style>
  <w:style w:type="character" w:customStyle="1" w:styleId="KommentarsmneChar">
    <w:name w:val="Kommentarsämne Char"/>
    <w:basedOn w:val="KommentarerChar"/>
    <w:link w:val="Kommentarsmne"/>
    <w:uiPriority w:val="99"/>
    <w:semiHidden/>
    <w:rsid w:val="008D5D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5201">
      <w:bodyDiv w:val="1"/>
      <w:marLeft w:val="0"/>
      <w:marRight w:val="0"/>
      <w:marTop w:val="0"/>
      <w:marBottom w:val="0"/>
      <w:divBdr>
        <w:top w:val="none" w:sz="0" w:space="0" w:color="auto"/>
        <w:left w:val="none" w:sz="0" w:space="0" w:color="auto"/>
        <w:bottom w:val="none" w:sz="0" w:space="0" w:color="auto"/>
        <w:right w:val="none" w:sz="0" w:space="0" w:color="auto"/>
      </w:divBdr>
    </w:div>
    <w:div w:id="212693128">
      <w:bodyDiv w:val="1"/>
      <w:marLeft w:val="0"/>
      <w:marRight w:val="0"/>
      <w:marTop w:val="0"/>
      <w:marBottom w:val="0"/>
      <w:divBdr>
        <w:top w:val="none" w:sz="0" w:space="0" w:color="auto"/>
        <w:left w:val="none" w:sz="0" w:space="0" w:color="auto"/>
        <w:bottom w:val="none" w:sz="0" w:space="0" w:color="auto"/>
        <w:right w:val="none" w:sz="0" w:space="0" w:color="auto"/>
      </w:divBdr>
    </w:div>
    <w:div w:id="266273255">
      <w:bodyDiv w:val="1"/>
      <w:marLeft w:val="0"/>
      <w:marRight w:val="0"/>
      <w:marTop w:val="0"/>
      <w:marBottom w:val="0"/>
      <w:divBdr>
        <w:top w:val="none" w:sz="0" w:space="0" w:color="auto"/>
        <w:left w:val="none" w:sz="0" w:space="0" w:color="auto"/>
        <w:bottom w:val="none" w:sz="0" w:space="0" w:color="auto"/>
        <w:right w:val="none" w:sz="0" w:space="0" w:color="auto"/>
      </w:divBdr>
    </w:div>
    <w:div w:id="316567963">
      <w:bodyDiv w:val="1"/>
      <w:marLeft w:val="0"/>
      <w:marRight w:val="0"/>
      <w:marTop w:val="0"/>
      <w:marBottom w:val="0"/>
      <w:divBdr>
        <w:top w:val="none" w:sz="0" w:space="0" w:color="auto"/>
        <w:left w:val="none" w:sz="0" w:space="0" w:color="auto"/>
        <w:bottom w:val="none" w:sz="0" w:space="0" w:color="auto"/>
        <w:right w:val="none" w:sz="0" w:space="0" w:color="auto"/>
      </w:divBdr>
    </w:div>
    <w:div w:id="352151573">
      <w:bodyDiv w:val="1"/>
      <w:marLeft w:val="0"/>
      <w:marRight w:val="0"/>
      <w:marTop w:val="0"/>
      <w:marBottom w:val="0"/>
      <w:divBdr>
        <w:top w:val="none" w:sz="0" w:space="0" w:color="auto"/>
        <w:left w:val="none" w:sz="0" w:space="0" w:color="auto"/>
        <w:bottom w:val="none" w:sz="0" w:space="0" w:color="auto"/>
        <w:right w:val="none" w:sz="0" w:space="0" w:color="auto"/>
      </w:divBdr>
    </w:div>
    <w:div w:id="434596246">
      <w:bodyDiv w:val="1"/>
      <w:marLeft w:val="0"/>
      <w:marRight w:val="0"/>
      <w:marTop w:val="0"/>
      <w:marBottom w:val="0"/>
      <w:divBdr>
        <w:top w:val="none" w:sz="0" w:space="0" w:color="auto"/>
        <w:left w:val="none" w:sz="0" w:space="0" w:color="auto"/>
        <w:bottom w:val="none" w:sz="0" w:space="0" w:color="auto"/>
        <w:right w:val="none" w:sz="0" w:space="0" w:color="auto"/>
      </w:divBdr>
    </w:div>
    <w:div w:id="465199651">
      <w:bodyDiv w:val="1"/>
      <w:marLeft w:val="0"/>
      <w:marRight w:val="0"/>
      <w:marTop w:val="0"/>
      <w:marBottom w:val="0"/>
      <w:divBdr>
        <w:top w:val="none" w:sz="0" w:space="0" w:color="auto"/>
        <w:left w:val="none" w:sz="0" w:space="0" w:color="auto"/>
        <w:bottom w:val="none" w:sz="0" w:space="0" w:color="auto"/>
        <w:right w:val="none" w:sz="0" w:space="0" w:color="auto"/>
      </w:divBdr>
    </w:div>
    <w:div w:id="551161765">
      <w:bodyDiv w:val="1"/>
      <w:marLeft w:val="0"/>
      <w:marRight w:val="0"/>
      <w:marTop w:val="0"/>
      <w:marBottom w:val="0"/>
      <w:divBdr>
        <w:top w:val="none" w:sz="0" w:space="0" w:color="auto"/>
        <w:left w:val="none" w:sz="0" w:space="0" w:color="auto"/>
        <w:bottom w:val="none" w:sz="0" w:space="0" w:color="auto"/>
        <w:right w:val="none" w:sz="0" w:space="0" w:color="auto"/>
      </w:divBdr>
    </w:div>
    <w:div w:id="693532406">
      <w:bodyDiv w:val="1"/>
      <w:marLeft w:val="0"/>
      <w:marRight w:val="0"/>
      <w:marTop w:val="0"/>
      <w:marBottom w:val="0"/>
      <w:divBdr>
        <w:top w:val="none" w:sz="0" w:space="0" w:color="auto"/>
        <w:left w:val="none" w:sz="0" w:space="0" w:color="auto"/>
        <w:bottom w:val="none" w:sz="0" w:space="0" w:color="auto"/>
        <w:right w:val="none" w:sz="0" w:space="0" w:color="auto"/>
      </w:divBdr>
    </w:div>
    <w:div w:id="697003112">
      <w:bodyDiv w:val="1"/>
      <w:marLeft w:val="0"/>
      <w:marRight w:val="0"/>
      <w:marTop w:val="0"/>
      <w:marBottom w:val="0"/>
      <w:divBdr>
        <w:top w:val="none" w:sz="0" w:space="0" w:color="auto"/>
        <w:left w:val="none" w:sz="0" w:space="0" w:color="auto"/>
        <w:bottom w:val="none" w:sz="0" w:space="0" w:color="auto"/>
        <w:right w:val="none" w:sz="0" w:space="0" w:color="auto"/>
      </w:divBdr>
    </w:div>
    <w:div w:id="697202362">
      <w:bodyDiv w:val="1"/>
      <w:marLeft w:val="0"/>
      <w:marRight w:val="0"/>
      <w:marTop w:val="0"/>
      <w:marBottom w:val="0"/>
      <w:divBdr>
        <w:top w:val="none" w:sz="0" w:space="0" w:color="auto"/>
        <w:left w:val="none" w:sz="0" w:space="0" w:color="auto"/>
        <w:bottom w:val="none" w:sz="0" w:space="0" w:color="auto"/>
        <w:right w:val="none" w:sz="0" w:space="0" w:color="auto"/>
      </w:divBdr>
    </w:div>
    <w:div w:id="730037161">
      <w:bodyDiv w:val="1"/>
      <w:marLeft w:val="0"/>
      <w:marRight w:val="0"/>
      <w:marTop w:val="0"/>
      <w:marBottom w:val="0"/>
      <w:divBdr>
        <w:top w:val="none" w:sz="0" w:space="0" w:color="auto"/>
        <w:left w:val="none" w:sz="0" w:space="0" w:color="auto"/>
        <w:bottom w:val="none" w:sz="0" w:space="0" w:color="auto"/>
        <w:right w:val="none" w:sz="0" w:space="0" w:color="auto"/>
      </w:divBdr>
    </w:div>
    <w:div w:id="741947926">
      <w:bodyDiv w:val="1"/>
      <w:marLeft w:val="0"/>
      <w:marRight w:val="0"/>
      <w:marTop w:val="0"/>
      <w:marBottom w:val="0"/>
      <w:divBdr>
        <w:top w:val="none" w:sz="0" w:space="0" w:color="auto"/>
        <w:left w:val="none" w:sz="0" w:space="0" w:color="auto"/>
        <w:bottom w:val="none" w:sz="0" w:space="0" w:color="auto"/>
        <w:right w:val="none" w:sz="0" w:space="0" w:color="auto"/>
      </w:divBdr>
    </w:div>
    <w:div w:id="793258370">
      <w:bodyDiv w:val="1"/>
      <w:marLeft w:val="0"/>
      <w:marRight w:val="0"/>
      <w:marTop w:val="0"/>
      <w:marBottom w:val="0"/>
      <w:divBdr>
        <w:top w:val="none" w:sz="0" w:space="0" w:color="auto"/>
        <w:left w:val="none" w:sz="0" w:space="0" w:color="auto"/>
        <w:bottom w:val="none" w:sz="0" w:space="0" w:color="auto"/>
        <w:right w:val="none" w:sz="0" w:space="0" w:color="auto"/>
      </w:divBdr>
    </w:div>
    <w:div w:id="1020854886">
      <w:bodyDiv w:val="1"/>
      <w:marLeft w:val="0"/>
      <w:marRight w:val="0"/>
      <w:marTop w:val="0"/>
      <w:marBottom w:val="0"/>
      <w:divBdr>
        <w:top w:val="none" w:sz="0" w:space="0" w:color="auto"/>
        <w:left w:val="none" w:sz="0" w:space="0" w:color="auto"/>
        <w:bottom w:val="none" w:sz="0" w:space="0" w:color="auto"/>
        <w:right w:val="none" w:sz="0" w:space="0" w:color="auto"/>
      </w:divBdr>
      <w:divsChild>
        <w:div w:id="236135341">
          <w:marLeft w:val="360"/>
          <w:marRight w:val="0"/>
          <w:marTop w:val="200"/>
          <w:marBottom w:val="0"/>
          <w:divBdr>
            <w:top w:val="none" w:sz="0" w:space="0" w:color="auto"/>
            <w:left w:val="none" w:sz="0" w:space="0" w:color="auto"/>
            <w:bottom w:val="none" w:sz="0" w:space="0" w:color="auto"/>
            <w:right w:val="none" w:sz="0" w:space="0" w:color="auto"/>
          </w:divBdr>
        </w:div>
        <w:div w:id="314920678">
          <w:marLeft w:val="360"/>
          <w:marRight w:val="0"/>
          <w:marTop w:val="200"/>
          <w:marBottom w:val="0"/>
          <w:divBdr>
            <w:top w:val="none" w:sz="0" w:space="0" w:color="auto"/>
            <w:left w:val="none" w:sz="0" w:space="0" w:color="auto"/>
            <w:bottom w:val="none" w:sz="0" w:space="0" w:color="auto"/>
            <w:right w:val="none" w:sz="0" w:space="0" w:color="auto"/>
          </w:divBdr>
        </w:div>
        <w:div w:id="468936864">
          <w:marLeft w:val="360"/>
          <w:marRight w:val="0"/>
          <w:marTop w:val="200"/>
          <w:marBottom w:val="0"/>
          <w:divBdr>
            <w:top w:val="none" w:sz="0" w:space="0" w:color="auto"/>
            <w:left w:val="none" w:sz="0" w:space="0" w:color="auto"/>
            <w:bottom w:val="none" w:sz="0" w:space="0" w:color="auto"/>
            <w:right w:val="none" w:sz="0" w:space="0" w:color="auto"/>
          </w:divBdr>
        </w:div>
        <w:div w:id="666521195">
          <w:marLeft w:val="360"/>
          <w:marRight w:val="0"/>
          <w:marTop w:val="200"/>
          <w:marBottom w:val="0"/>
          <w:divBdr>
            <w:top w:val="none" w:sz="0" w:space="0" w:color="auto"/>
            <w:left w:val="none" w:sz="0" w:space="0" w:color="auto"/>
            <w:bottom w:val="none" w:sz="0" w:space="0" w:color="auto"/>
            <w:right w:val="none" w:sz="0" w:space="0" w:color="auto"/>
          </w:divBdr>
        </w:div>
        <w:div w:id="852306804">
          <w:marLeft w:val="360"/>
          <w:marRight w:val="0"/>
          <w:marTop w:val="200"/>
          <w:marBottom w:val="0"/>
          <w:divBdr>
            <w:top w:val="none" w:sz="0" w:space="0" w:color="auto"/>
            <w:left w:val="none" w:sz="0" w:space="0" w:color="auto"/>
            <w:bottom w:val="none" w:sz="0" w:space="0" w:color="auto"/>
            <w:right w:val="none" w:sz="0" w:space="0" w:color="auto"/>
          </w:divBdr>
        </w:div>
        <w:div w:id="1075005533">
          <w:marLeft w:val="360"/>
          <w:marRight w:val="0"/>
          <w:marTop w:val="200"/>
          <w:marBottom w:val="0"/>
          <w:divBdr>
            <w:top w:val="none" w:sz="0" w:space="0" w:color="auto"/>
            <w:left w:val="none" w:sz="0" w:space="0" w:color="auto"/>
            <w:bottom w:val="none" w:sz="0" w:space="0" w:color="auto"/>
            <w:right w:val="none" w:sz="0" w:space="0" w:color="auto"/>
          </w:divBdr>
        </w:div>
        <w:div w:id="1123424809">
          <w:marLeft w:val="360"/>
          <w:marRight w:val="0"/>
          <w:marTop w:val="200"/>
          <w:marBottom w:val="0"/>
          <w:divBdr>
            <w:top w:val="none" w:sz="0" w:space="0" w:color="auto"/>
            <w:left w:val="none" w:sz="0" w:space="0" w:color="auto"/>
            <w:bottom w:val="none" w:sz="0" w:space="0" w:color="auto"/>
            <w:right w:val="none" w:sz="0" w:space="0" w:color="auto"/>
          </w:divBdr>
        </w:div>
        <w:div w:id="1187213836">
          <w:marLeft w:val="360"/>
          <w:marRight w:val="0"/>
          <w:marTop w:val="200"/>
          <w:marBottom w:val="0"/>
          <w:divBdr>
            <w:top w:val="none" w:sz="0" w:space="0" w:color="auto"/>
            <w:left w:val="none" w:sz="0" w:space="0" w:color="auto"/>
            <w:bottom w:val="none" w:sz="0" w:space="0" w:color="auto"/>
            <w:right w:val="none" w:sz="0" w:space="0" w:color="auto"/>
          </w:divBdr>
        </w:div>
        <w:div w:id="1521896115">
          <w:marLeft w:val="360"/>
          <w:marRight w:val="0"/>
          <w:marTop w:val="200"/>
          <w:marBottom w:val="0"/>
          <w:divBdr>
            <w:top w:val="none" w:sz="0" w:space="0" w:color="auto"/>
            <w:left w:val="none" w:sz="0" w:space="0" w:color="auto"/>
            <w:bottom w:val="none" w:sz="0" w:space="0" w:color="auto"/>
            <w:right w:val="none" w:sz="0" w:space="0" w:color="auto"/>
          </w:divBdr>
        </w:div>
        <w:div w:id="1740396557">
          <w:marLeft w:val="360"/>
          <w:marRight w:val="0"/>
          <w:marTop w:val="200"/>
          <w:marBottom w:val="0"/>
          <w:divBdr>
            <w:top w:val="none" w:sz="0" w:space="0" w:color="auto"/>
            <w:left w:val="none" w:sz="0" w:space="0" w:color="auto"/>
            <w:bottom w:val="none" w:sz="0" w:space="0" w:color="auto"/>
            <w:right w:val="none" w:sz="0" w:space="0" w:color="auto"/>
          </w:divBdr>
        </w:div>
        <w:div w:id="1783375609">
          <w:marLeft w:val="360"/>
          <w:marRight w:val="0"/>
          <w:marTop w:val="200"/>
          <w:marBottom w:val="0"/>
          <w:divBdr>
            <w:top w:val="none" w:sz="0" w:space="0" w:color="auto"/>
            <w:left w:val="none" w:sz="0" w:space="0" w:color="auto"/>
            <w:bottom w:val="none" w:sz="0" w:space="0" w:color="auto"/>
            <w:right w:val="none" w:sz="0" w:space="0" w:color="auto"/>
          </w:divBdr>
        </w:div>
      </w:divsChild>
    </w:div>
    <w:div w:id="1044059861">
      <w:bodyDiv w:val="1"/>
      <w:marLeft w:val="0"/>
      <w:marRight w:val="0"/>
      <w:marTop w:val="0"/>
      <w:marBottom w:val="0"/>
      <w:divBdr>
        <w:top w:val="none" w:sz="0" w:space="0" w:color="auto"/>
        <w:left w:val="none" w:sz="0" w:space="0" w:color="auto"/>
        <w:bottom w:val="none" w:sz="0" w:space="0" w:color="auto"/>
        <w:right w:val="none" w:sz="0" w:space="0" w:color="auto"/>
      </w:divBdr>
    </w:div>
    <w:div w:id="1060598767">
      <w:bodyDiv w:val="1"/>
      <w:marLeft w:val="0"/>
      <w:marRight w:val="0"/>
      <w:marTop w:val="0"/>
      <w:marBottom w:val="0"/>
      <w:divBdr>
        <w:top w:val="none" w:sz="0" w:space="0" w:color="auto"/>
        <w:left w:val="none" w:sz="0" w:space="0" w:color="auto"/>
        <w:bottom w:val="none" w:sz="0" w:space="0" w:color="auto"/>
        <w:right w:val="none" w:sz="0" w:space="0" w:color="auto"/>
      </w:divBdr>
    </w:div>
    <w:div w:id="1091395928">
      <w:bodyDiv w:val="1"/>
      <w:marLeft w:val="0"/>
      <w:marRight w:val="0"/>
      <w:marTop w:val="0"/>
      <w:marBottom w:val="0"/>
      <w:divBdr>
        <w:top w:val="none" w:sz="0" w:space="0" w:color="auto"/>
        <w:left w:val="none" w:sz="0" w:space="0" w:color="auto"/>
        <w:bottom w:val="none" w:sz="0" w:space="0" w:color="auto"/>
        <w:right w:val="none" w:sz="0" w:space="0" w:color="auto"/>
      </w:divBdr>
    </w:div>
    <w:div w:id="1098453339">
      <w:bodyDiv w:val="1"/>
      <w:marLeft w:val="0"/>
      <w:marRight w:val="0"/>
      <w:marTop w:val="0"/>
      <w:marBottom w:val="0"/>
      <w:divBdr>
        <w:top w:val="none" w:sz="0" w:space="0" w:color="auto"/>
        <w:left w:val="none" w:sz="0" w:space="0" w:color="auto"/>
        <w:bottom w:val="none" w:sz="0" w:space="0" w:color="auto"/>
        <w:right w:val="none" w:sz="0" w:space="0" w:color="auto"/>
      </w:divBdr>
    </w:div>
    <w:div w:id="1305238407">
      <w:bodyDiv w:val="1"/>
      <w:marLeft w:val="0"/>
      <w:marRight w:val="0"/>
      <w:marTop w:val="0"/>
      <w:marBottom w:val="0"/>
      <w:divBdr>
        <w:top w:val="none" w:sz="0" w:space="0" w:color="auto"/>
        <w:left w:val="none" w:sz="0" w:space="0" w:color="auto"/>
        <w:bottom w:val="none" w:sz="0" w:space="0" w:color="auto"/>
        <w:right w:val="none" w:sz="0" w:space="0" w:color="auto"/>
      </w:divBdr>
    </w:div>
    <w:div w:id="1318067712">
      <w:bodyDiv w:val="1"/>
      <w:marLeft w:val="0"/>
      <w:marRight w:val="0"/>
      <w:marTop w:val="0"/>
      <w:marBottom w:val="0"/>
      <w:divBdr>
        <w:top w:val="none" w:sz="0" w:space="0" w:color="auto"/>
        <w:left w:val="none" w:sz="0" w:space="0" w:color="auto"/>
        <w:bottom w:val="none" w:sz="0" w:space="0" w:color="auto"/>
        <w:right w:val="none" w:sz="0" w:space="0" w:color="auto"/>
      </w:divBdr>
    </w:div>
    <w:div w:id="1318419646">
      <w:bodyDiv w:val="1"/>
      <w:marLeft w:val="0"/>
      <w:marRight w:val="0"/>
      <w:marTop w:val="0"/>
      <w:marBottom w:val="0"/>
      <w:divBdr>
        <w:top w:val="none" w:sz="0" w:space="0" w:color="auto"/>
        <w:left w:val="none" w:sz="0" w:space="0" w:color="auto"/>
        <w:bottom w:val="none" w:sz="0" w:space="0" w:color="auto"/>
        <w:right w:val="none" w:sz="0" w:space="0" w:color="auto"/>
      </w:divBdr>
    </w:div>
    <w:div w:id="1354306370">
      <w:bodyDiv w:val="1"/>
      <w:marLeft w:val="0"/>
      <w:marRight w:val="0"/>
      <w:marTop w:val="0"/>
      <w:marBottom w:val="0"/>
      <w:divBdr>
        <w:top w:val="none" w:sz="0" w:space="0" w:color="auto"/>
        <w:left w:val="none" w:sz="0" w:space="0" w:color="auto"/>
        <w:bottom w:val="none" w:sz="0" w:space="0" w:color="auto"/>
        <w:right w:val="none" w:sz="0" w:space="0" w:color="auto"/>
      </w:divBdr>
    </w:div>
    <w:div w:id="1365711240">
      <w:bodyDiv w:val="1"/>
      <w:marLeft w:val="0"/>
      <w:marRight w:val="0"/>
      <w:marTop w:val="0"/>
      <w:marBottom w:val="0"/>
      <w:divBdr>
        <w:top w:val="none" w:sz="0" w:space="0" w:color="auto"/>
        <w:left w:val="none" w:sz="0" w:space="0" w:color="auto"/>
        <w:bottom w:val="none" w:sz="0" w:space="0" w:color="auto"/>
        <w:right w:val="none" w:sz="0" w:space="0" w:color="auto"/>
      </w:divBdr>
    </w:div>
    <w:div w:id="1543711532">
      <w:bodyDiv w:val="1"/>
      <w:marLeft w:val="0"/>
      <w:marRight w:val="0"/>
      <w:marTop w:val="0"/>
      <w:marBottom w:val="0"/>
      <w:divBdr>
        <w:top w:val="none" w:sz="0" w:space="0" w:color="auto"/>
        <w:left w:val="none" w:sz="0" w:space="0" w:color="auto"/>
        <w:bottom w:val="none" w:sz="0" w:space="0" w:color="auto"/>
        <w:right w:val="none" w:sz="0" w:space="0" w:color="auto"/>
      </w:divBdr>
    </w:div>
    <w:div w:id="1809009088">
      <w:bodyDiv w:val="1"/>
      <w:marLeft w:val="0"/>
      <w:marRight w:val="0"/>
      <w:marTop w:val="0"/>
      <w:marBottom w:val="0"/>
      <w:divBdr>
        <w:top w:val="none" w:sz="0" w:space="0" w:color="auto"/>
        <w:left w:val="none" w:sz="0" w:space="0" w:color="auto"/>
        <w:bottom w:val="none" w:sz="0" w:space="0" w:color="auto"/>
        <w:right w:val="none" w:sz="0" w:space="0" w:color="auto"/>
      </w:divBdr>
    </w:div>
    <w:div w:id="1947733284">
      <w:bodyDiv w:val="1"/>
      <w:marLeft w:val="0"/>
      <w:marRight w:val="0"/>
      <w:marTop w:val="0"/>
      <w:marBottom w:val="0"/>
      <w:divBdr>
        <w:top w:val="none" w:sz="0" w:space="0" w:color="auto"/>
        <w:left w:val="none" w:sz="0" w:space="0" w:color="auto"/>
        <w:bottom w:val="none" w:sz="0" w:space="0" w:color="auto"/>
        <w:right w:val="none" w:sz="0" w:space="0" w:color="auto"/>
      </w:divBdr>
    </w:div>
    <w:div w:id="197286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ncbi.nlm.nih.gov/pubmed/?term=Bradley%20JA%5BAuthor%5D&amp;cauthor=true&amp;cauthor_uid=25786101" TargetMode="External"/><Relationship Id="rId3" Type="http://schemas.openxmlformats.org/officeDocument/2006/relationships/styles" Target="styles.xml"/><Relationship Id="rId21" Type="http://schemas.openxmlformats.org/officeDocument/2006/relationships/hyperlink" Target="https://www.ncbi.nlm.nih.gov/pubmed/?term=Watson%20CJ%5BAuthor%5D&amp;cauthor=true&amp;cauthor_uid=25786101"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ncbi.nlm.nih.gov/pubmed/?term=Neuberger%20JM%5BAuthor%5D&amp;cauthor=true&amp;cauthor_uid=25786101"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ncbi.nlm.nih.gov/pubmed/?term=Summers%20DM%5BAuthor%5D&amp;cauthor=true&amp;cauthor_uid=257861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ncbi.nlm.nih.gov/pubmed/?term=Collett%20D%5BAuthor%5D&amp;cauthor=true&amp;cauthor_uid=25786101"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s://www.ncbi.nlm.nih.gov/pubmed/?term=Johnson%20RJ%5BAuthor%5D&amp;cauthor=true&amp;cauthor_uid=25786101"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hyperlink" Target="https://www.ncbi.nlm.nih.gov/pubmed/?term=Pettigrew%20GJ%5BAuthor%5D&amp;cauthor=true&amp;cauthor_uid=25786101"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sergos\Desktop\V&#228;vnadsr&#229;det\Excel%20UK%20QALY.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3.xlsx"/><Relationship Id="rId1" Type="http://schemas.openxmlformats.org/officeDocument/2006/relationships/themeOverride" Target="../theme/themeOverride1.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package" Target="../embeddings/Microsoft_Excel_Worksheet4.xlsx"/><Relationship Id="rId1" Type="http://schemas.openxmlformats.org/officeDocument/2006/relationships/themeOverride" Target="../theme/themeOverride2.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Excel_Worksheet5.xlsx"/><Relationship Id="rId1" Type="http://schemas.openxmlformats.org/officeDocument/2006/relationships/themeOverride" Target="../theme/themeOverride3.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Excel_Worksheet6.xlsx"/><Relationship Id="rId1" Type="http://schemas.openxmlformats.org/officeDocument/2006/relationships/themeOverride" Target="../theme/themeOverride4.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package" Target="../embeddings/Microsoft_Excel_Worksheet7.xlsx"/><Relationship Id="rId1" Type="http://schemas.openxmlformats.org/officeDocument/2006/relationships/themeOverride" Target="../theme/themeOverride5.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v-SE" sz="800" b="1"/>
              <a:t>HD-QALY</a:t>
            </a:r>
          </a:p>
        </c:rich>
      </c:tx>
      <c:overlay val="0"/>
      <c:spPr>
        <a:noFill/>
        <a:ln>
          <a:noFill/>
        </a:ln>
        <a:effectLst/>
      </c:spPr>
    </c:title>
    <c:autoTitleDeleted val="0"/>
    <c:plotArea>
      <c:layout>
        <c:manualLayout>
          <c:layoutTarget val="inner"/>
          <c:xMode val="edge"/>
          <c:yMode val="edge"/>
          <c:x val="8.5483814523184598E-2"/>
          <c:y val="0.13004629629629633"/>
          <c:w val="0.88396062992125979"/>
          <c:h val="0.75850284339457563"/>
        </c:manualLayout>
      </c:layout>
      <c:lineChart>
        <c:grouping val="standard"/>
        <c:varyColors val="0"/>
        <c:ser>
          <c:idx val="0"/>
          <c:order val="0"/>
          <c:tx>
            <c:strRef>
              <c:f>Sheet5!$B$4</c:f>
              <c:strCache>
                <c:ptCount val="1"/>
                <c:pt idx="0">
                  <c:v>HD worst</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Sheet5!$B$5:$B$9</c:f>
              <c:numCache>
                <c:formatCode>0.00</c:formatCode>
                <c:ptCount val="5"/>
                <c:pt idx="0">
                  <c:v>0.44</c:v>
                </c:pt>
                <c:pt idx="1">
                  <c:v>0.40919999999999995</c:v>
                </c:pt>
                <c:pt idx="2">
                  <c:v>0.38055599999999995</c:v>
                </c:pt>
                <c:pt idx="3">
                  <c:v>0.30610288249199991</c:v>
                </c:pt>
                <c:pt idx="4">
                  <c:v>0.21295221515888887</c:v>
                </c:pt>
              </c:numCache>
            </c:numRef>
          </c:val>
          <c:smooth val="0"/>
          <c:extLst xmlns:c16r2="http://schemas.microsoft.com/office/drawing/2015/06/chart">
            <c:ext xmlns:c16="http://schemas.microsoft.com/office/drawing/2014/chart" uri="{C3380CC4-5D6E-409C-BE32-E72D297353CC}">
              <c16:uniqueId val="{00000000-4B1B-41CE-B90B-710246F15AEF}"/>
            </c:ext>
          </c:extLst>
        </c:ser>
        <c:ser>
          <c:idx val="1"/>
          <c:order val="1"/>
          <c:tx>
            <c:strRef>
              <c:f>Sheet5!$C$4</c:f>
              <c:strCache>
                <c:ptCount val="1"/>
                <c:pt idx="0">
                  <c:v>HD Mid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Sheet5!$C$5:$C$9</c:f>
              <c:numCache>
                <c:formatCode>0.00</c:formatCode>
                <c:ptCount val="5"/>
                <c:pt idx="0">
                  <c:v>0.56000000000000005</c:v>
                </c:pt>
                <c:pt idx="1">
                  <c:v>0.53200000000000003</c:v>
                </c:pt>
                <c:pt idx="2">
                  <c:v>0.50539999999999996</c:v>
                </c:pt>
                <c:pt idx="3">
                  <c:v>0.43331732499999992</c:v>
                </c:pt>
                <c:pt idx="4">
                  <c:v>0.3352926859734921</c:v>
                </c:pt>
              </c:numCache>
            </c:numRef>
          </c:val>
          <c:smooth val="0"/>
          <c:extLst xmlns:c16r2="http://schemas.microsoft.com/office/drawing/2015/06/chart">
            <c:ext xmlns:c16="http://schemas.microsoft.com/office/drawing/2014/chart" uri="{C3380CC4-5D6E-409C-BE32-E72D297353CC}">
              <c16:uniqueId val="{00000001-4B1B-41CE-B90B-710246F15AEF}"/>
            </c:ext>
          </c:extLst>
        </c:ser>
        <c:ser>
          <c:idx val="2"/>
          <c:order val="2"/>
          <c:tx>
            <c:strRef>
              <c:f>Sheet5!$D$4</c:f>
              <c:strCache>
                <c:ptCount val="1"/>
                <c:pt idx="0">
                  <c:v>HD best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Sheet5!$D$5:$D$9</c:f>
              <c:numCache>
                <c:formatCode>0.00</c:formatCode>
                <c:ptCount val="5"/>
                <c:pt idx="0">
                  <c:v>0.69</c:v>
                </c:pt>
                <c:pt idx="1">
                  <c:v>0.6692999999999999</c:v>
                </c:pt>
                <c:pt idx="2">
                  <c:v>0.64922099999999983</c:v>
                </c:pt>
                <c:pt idx="3">
                  <c:v>0.55662585487499983</c:v>
                </c:pt>
                <c:pt idx="4">
                  <c:v>0.4779935611655125</c:v>
                </c:pt>
              </c:numCache>
            </c:numRef>
          </c:val>
          <c:smooth val="0"/>
          <c:extLst xmlns:c16r2="http://schemas.microsoft.com/office/drawing/2015/06/chart">
            <c:ext xmlns:c16="http://schemas.microsoft.com/office/drawing/2014/chart" uri="{C3380CC4-5D6E-409C-BE32-E72D297353CC}">
              <c16:uniqueId val="{00000002-4B1B-41CE-B90B-710246F15AEF}"/>
            </c:ext>
          </c:extLst>
        </c:ser>
        <c:dLbls>
          <c:dLblPos val="t"/>
          <c:showLegendKey val="0"/>
          <c:showVal val="1"/>
          <c:showCatName val="0"/>
          <c:showSerName val="0"/>
          <c:showPercent val="0"/>
          <c:showBubbleSize val="0"/>
        </c:dLbls>
        <c:marker val="1"/>
        <c:smooth val="0"/>
        <c:axId val="35103872"/>
        <c:axId val="35105408"/>
      </c:lineChart>
      <c:catAx>
        <c:axId val="351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35105408"/>
        <c:crosses val="autoZero"/>
        <c:auto val="1"/>
        <c:lblAlgn val="ctr"/>
        <c:lblOffset val="100"/>
        <c:noMultiLvlLbl val="0"/>
      </c:catAx>
      <c:valAx>
        <c:axId val="35105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35103872"/>
        <c:crosses val="autoZero"/>
        <c:crossBetween val="between"/>
      </c:valAx>
      <c:spPr>
        <a:noFill/>
        <a:ln>
          <a:noFill/>
        </a:ln>
        <a:effectLst/>
      </c:spPr>
    </c:plotArea>
    <c:legend>
      <c:legendPos val="b"/>
      <c:layout>
        <c:manualLayout>
          <c:xMode val="edge"/>
          <c:yMode val="edge"/>
          <c:x val="0.11786286089238845"/>
          <c:y val="0.75983741615631384"/>
          <c:w val="0.54205183727034123"/>
          <c:h val="7.812554680664918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v-SE" sz="800" b="1"/>
              <a:t>PD-QALY</a:t>
            </a:r>
          </a:p>
        </c:rich>
      </c:tx>
      <c:overlay val="0"/>
      <c:spPr>
        <a:noFill/>
        <a:ln>
          <a:noFill/>
        </a:ln>
        <a:effectLst/>
      </c:spPr>
    </c:title>
    <c:autoTitleDeleted val="0"/>
    <c:plotArea>
      <c:layout>
        <c:manualLayout>
          <c:layoutTarget val="inner"/>
          <c:xMode val="edge"/>
          <c:yMode val="edge"/>
          <c:x val="8.5483814523184598E-2"/>
          <c:y val="0.11615740740740743"/>
          <c:w val="0.88396062992125979"/>
          <c:h val="0.79553988043161272"/>
        </c:manualLayout>
      </c:layout>
      <c:lineChart>
        <c:grouping val="standard"/>
        <c:varyColors val="0"/>
        <c:ser>
          <c:idx val="3"/>
          <c:order val="0"/>
          <c:tx>
            <c:strRef>
              <c:f>Sheet5!$E$4</c:f>
              <c:strCache>
                <c:ptCount val="1"/>
                <c:pt idx="0">
                  <c:v>PD worst</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6.8230452674897121E-2"/>
                  <c:y val="-5.48303684261689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2D1-4621-8DC4-50149B4EB2D7}"/>
                </c:ext>
              </c:extLst>
            </c:dLbl>
            <c:dLbl>
              <c:idx val="1"/>
              <c:layout>
                <c:manualLayout>
                  <c:x val="-6.4115226337448525E-2"/>
                  <c:y val="-5.48303684261689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D1-4621-8DC4-50149B4EB2D7}"/>
                </c:ext>
              </c:extLst>
            </c:dLbl>
            <c:dLbl>
              <c:idx val="2"/>
              <c:layout>
                <c:manualLayout>
                  <c:x val="-6.4115226337448566E-2"/>
                  <c:y val="-5.4830368426169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2D1-4621-8DC4-50149B4EB2D7}"/>
                </c:ext>
              </c:extLst>
            </c:dLbl>
            <c:dLbl>
              <c:idx val="3"/>
              <c:layout>
                <c:manualLayout>
                  <c:x val="-6.4115226337448636E-2"/>
                  <c:y val="-6.10032079323419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2D1-4621-8DC4-50149B4EB2D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Sheet5!$E$5:$E$9</c:f>
              <c:numCache>
                <c:formatCode>0.00</c:formatCode>
                <c:ptCount val="5"/>
                <c:pt idx="0">
                  <c:v>0.57999999999999996</c:v>
                </c:pt>
                <c:pt idx="1">
                  <c:v>0.53939999999999988</c:v>
                </c:pt>
                <c:pt idx="2">
                  <c:v>0.50164199999999981</c:v>
                </c:pt>
                <c:pt idx="3">
                  <c:v>0.40349925419399979</c:v>
                </c:pt>
                <c:pt idx="4">
                  <c:v>0.28070973816398981</c:v>
                </c:pt>
              </c:numCache>
            </c:numRef>
          </c:val>
          <c:smooth val="0"/>
          <c:extLst xmlns:c16r2="http://schemas.microsoft.com/office/drawing/2015/06/chart">
            <c:ext xmlns:c16="http://schemas.microsoft.com/office/drawing/2014/chart" uri="{C3380CC4-5D6E-409C-BE32-E72D297353CC}">
              <c16:uniqueId val="{00000000-A2D1-4621-8DC4-50149B4EB2D7}"/>
            </c:ext>
          </c:extLst>
        </c:ser>
        <c:ser>
          <c:idx val="4"/>
          <c:order val="1"/>
          <c:tx>
            <c:strRef>
              <c:f>Sheet5!$F$4</c:f>
              <c:strCache>
                <c:ptCount val="1"/>
                <c:pt idx="0">
                  <c:v>PD Mid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Sheet5!$F$5:$F$9</c:f>
              <c:numCache>
                <c:formatCode>0.00</c:formatCode>
                <c:ptCount val="5"/>
                <c:pt idx="0">
                  <c:v>0.65</c:v>
                </c:pt>
                <c:pt idx="1">
                  <c:v>0.61749999999999994</c:v>
                </c:pt>
                <c:pt idx="2">
                  <c:v>0.58662499999999995</c:v>
                </c:pt>
                <c:pt idx="3">
                  <c:v>0.50295760937499989</c:v>
                </c:pt>
                <c:pt idx="4">
                  <c:v>0.38917901050494619</c:v>
                </c:pt>
              </c:numCache>
            </c:numRef>
          </c:val>
          <c:smooth val="0"/>
          <c:extLst xmlns:c16r2="http://schemas.microsoft.com/office/drawing/2015/06/chart">
            <c:ext xmlns:c16="http://schemas.microsoft.com/office/drawing/2014/chart" uri="{C3380CC4-5D6E-409C-BE32-E72D297353CC}">
              <c16:uniqueId val="{00000001-A2D1-4621-8DC4-50149B4EB2D7}"/>
            </c:ext>
          </c:extLst>
        </c:ser>
        <c:ser>
          <c:idx val="5"/>
          <c:order val="2"/>
          <c:tx>
            <c:strRef>
              <c:f>Sheet5!$G$4</c:f>
              <c:strCache>
                <c:ptCount val="1"/>
                <c:pt idx="0">
                  <c:v>PD best</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Sheet5!$G$5:$G$9</c:f>
              <c:numCache>
                <c:formatCode>0.00</c:formatCode>
                <c:ptCount val="5"/>
                <c:pt idx="0">
                  <c:v>0.72</c:v>
                </c:pt>
                <c:pt idx="1">
                  <c:v>0.69839999999999991</c:v>
                </c:pt>
                <c:pt idx="2">
                  <c:v>0.67744799999999994</c:v>
                </c:pt>
                <c:pt idx="3">
                  <c:v>0.58082697899999991</c:v>
                </c:pt>
                <c:pt idx="4">
                  <c:v>0.49877588991183924</c:v>
                </c:pt>
              </c:numCache>
            </c:numRef>
          </c:val>
          <c:smooth val="0"/>
          <c:extLst xmlns:c16r2="http://schemas.microsoft.com/office/drawing/2015/06/chart">
            <c:ext xmlns:c16="http://schemas.microsoft.com/office/drawing/2014/chart" uri="{C3380CC4-5D6E-409C-BE32-E72D297353CC}">
              <c16:uniqueId val="{00000002-A2D1-4621-8DC4-50149B4EB2D7}"/>
            </c:ext>
          </c:extLst>
        </c:ser>
        <c:dLbls>
          <c:dLblPos val="t"/>
          <c:showLegendKey val="0"/>
          <c:showVal val="1"/>
          <c:showCatName val="0"/>
          <c:showSerName val="0"/>
          <c:showPercent val="0"/>
          <c:showBubbleSize val="0"/>
        </c:dLbls>
        <c:marker val="1"/>
        <c:smooth val="0"/>
        <c:axId val="37654912"/>
        <c:axId val="3765644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Sheet5!$B$4</c15:sqref>
                        </c15:formulaRef>
                      </c:ext>
                    </c:extLst>
                    <c:strCache>
                      <c:ptCount val="1"/>
                      <c:pt idx="0">
                        <c:v>HD worst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c:ext uri="{02D57815-91ED-43cb-92C2-25804820EDAC}">
                        <c15:formulaRef>
                          <c15:sqref>Sheet5!$B$5:$B$9</c15:sqref>
                        </c15:formulaRef>
                      </c:ext>
                    </c:extLst>
                    <c:numCache>
                      <c:formatCode>0.00</c:formatCode>
                      <c:ptCount val="5"/>
                      <c:pt idx="0">
                        <c:v>0.44</c:v>
                      </c:pt>
                      <c:pt idx="1">
                        <c:v>0.40919999999999995</c:v>
                      </c:pt>
                      <c:pt idx="2">
                        <c:v>0.38055599999999995</c:v>
                      </c:pt>
                      <c:pt idx="3">
                        <c:v>0.30610288249199991</c:v>
                      </c:pt>
                      <c:pt idx="4">
                        <c:v>0.21295221515888887</c:v>
                      </c:pt>
                    </c:numCache>
                  </c:numRef>
                </c:val>
                <c:smooth val="0"/>
                <c:extLst>
                  <c:ext xmlns:c16="http://schemas.microsoft.com/office/drawing/2014/chart" uri="{C3380CC4-5D6E-409C-BE32-E72D297353CC}">
                    <c16:uniqueId val="{00000003-A2D1-4621-8DC4-50149B4EB2D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Sheet5!$C$4</c15:sqref>
                        </c15:formulaRef>
                      </c:ext>
                    </c:extLst>
                    <c:strCache>
                      <c:ptCount val="1"/>
                      <c:pt idx="0">
                        <c:v>HD Mid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Sheet5!$C$5:$C$9</c15:sqref>
                        </c15:formulaRef>
                      </c:ext>
                    </c:extLst>
                    <c:numCache>
                      <c:formatCode>0.00</c:formatCode>
                      <c:ptCount val="5"/>
                      <c:pt idx="0">
                        <c:v>0.56000000000000005</c:v>
                      </c:pt>
                      <c:pt idx="1">
                        <c:v>0.53200000000000003</c:v>
                      </c:pt>
                      <c:pt idx="2">
                        <c:v>0.50539999999999996</c:v>
                      </c:pt>
                      <c:pt idx="3">
                        <c:v>0.43331732499999992</c:v>
                      </c:pt>
                      <c:pt idx="4">
                        <c:v>0.3352926859734921</c:v>
                      </c:pt>
                    </c:numCache>
                  </c:numRef>
                </c:val>
                <c:smooth val="0"/>
                <c:extLst xmlns:c15="http://schemas.microsoft.com/office/drawing/2012/chart">
                  <c:ext xmlns:c16="http://schemas.microsoft.com/office/drawing/2014/chart" uri="{C3380CC4-5D6E-409C-BE32-E72D297353CC}">
                    <c16:uniqueId val="{00000004-A2D1-4621-8DC4-50149B4EB2D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Sheet5!$D$4</c15:sqref>
                        </c15:formulaRef>
                      </c:ext>
                    </c:extLst>
                    <c:strCache>
                      <c:ptCount val="1"/>
                      <c:pt idx="0">
                        <c:v>HD best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Sheet5!$D$5:$D$9</c15:sqref>
                        </c15:formulaRef>
                      </c:ext>
                    </c:extLst>
                    <c:numCache>
                      <c:formatCode>0.00</c:formatCode>
                      <c:ptCount val="5"/>
                      <c:pt idx="0">
                        <c:v>0.69</c:v>
                      </c:pt>
                      <c:pt idx="1">
                        <c:v>0.6692999999999999</c:v>
                      </c:pt>
                      <c:pt idx="2">
                        <c:v>0.64922099999999983</c:v>
                      </c:pt>
                      <c:pt idx="3">
                        <c:v>0.55662585487499983</c:v>
                      </c:pt>
                      <c:pt idx="4">
                        <c:v>0.4779935611655125</c:v>
                      </c:pt>
                    </c:numCache>
                  </c:numRef>
                </c:val>
                <c:smooth val="0"/>
                <c:extLst xmlns:c15="http://schemas.microsoft.com/office/drawing/2012/chart">
                  <c:ext xmlns:c16="http://schemas.microsoft.com/office/drawing/2014/chart" uri="{C3380CC4-5D6E-409C-BE32-E72D297353CC}">
                    <c16:uniqueId val="{00000005-A2D1-4621-8DC4-50149B4EB2D7}"/>
                  </c:ext>
                </c:extLst>
              </c15:ser>
            </c15:filteredLineSeries>
          </c:ext>
        </c:extLst>
      </c:lineChart>
      <c:catAx>
        <c:axId val="376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37656448"/>
        <c:crosses val="autoZero"/>
        <c:auto val="1"/>
        <c:lblAlgn val="ctr"/>
        <c:lblOffset val="100"/>
        <c:noMultiLvlLbl val="0"/>
      </c:catAx>
      <c:valAx>
        <c:axId val="3765644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37654912"/>
        <c:crosses val="autoZero"/>
        <c:crossBetween val="between"/>
      </c:valAx>
      <c:spPr>
        <a:noFill/>
        <a:ln>
          <a:noFill/>
        </a:ln>
        <a:effectLst/>
      </c:spPr>
    </c:plotArea>
    <c:legend>
      <c:legendPos val="b"/>
      <c:layout>
        <c:manualLayout>
          <c:xMode val="edge"/>
          <c:yMode val="edge"/>
          <c:x val="8.3749125109361333E-2"/>
          <c:y val="0.76446704578594338"/>
          <c:w val="0.53250153105861764"/>
          <c:h val="7.812554680664918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v-SE" sz="800" b="1"/>
              <a:t>Tx-QALY</a:t>
            </a:r>
          </a:p>
        </c:rich>
      </c:tx>
      <c:overlay val="0"/>
      <c:spPr>
        <a:noFill/>
        <a:ln>
          <a:noFill/>
        </a:ln>
        <a:effectLst/>
      </c:spPr>
    </c:title>
    <c:autoTitleDeleted val="0"/>
    <c:plotArea>
      <c:layout>
        <c:manualLayout>
          <c:layoutTarget val="inner"/>
          <c:xMode val="edge"/>
          <c:yMode val="edge"/>
          <c:x val="7.2817147856517939E-2"/>
          <c:y val="0.13004629629629633"/>
          <c:w val="0.8966272965879265"/>
          <c:h val="0.76776210265383515"/>
        </c:manualLayout>
      </c:layout>
      <c:lineChart>
        <c:grouping val="standard"/>
        <c:varyColors val="0"/>
        <c:ser>
          <c:idx val="6"/>
          <c:order val="0"/>
          <c:tx>
            <c:strRef>
              <c:f>Sheet5!$H$4</c:f>
              <c:strCache>
                <c:ptCount val="1"/>
                <c:pt idx="0">
                  <c:v>Tx worst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Pt>
            <c:idx val="3"/>
            <c:marker>
              <c:spPr>
                <a:solidFill>
                  <a:schemeClr val="tx1"/>
                </a:solidFill>
                <a:ln w="9525">
                  <a:solidFill>
                    <a:schemeClr val="tx1"/>
                  </a:solidFill>
                </a:ln>
                <a:effectLst/>
              </c:spPr>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C-5FE2-4877-8B73-0F11895FF249}"/>
              </c:ext>
            </c:extLst>
          </c:dPt>
          <c:dLbls>
            <c:dLbl>
              <c:idx val="0"/>
              <c:layout>
                <c:manualLayout>
                  <c:x val="-4.2887898098318014E-2"/>
                  <c:y val="7.49624232242171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FE2-4877-8B73-0F11895FF249}"/>
                </c:ext>
              </c:extLst>
            </c:dLbl>
            <c:dLbl>
              <c:idx val="1"/>
              <c:layout>
                <c:manualLayout>
                  <c:x val="-4.5493082415108473E-2"/>
                  <c:y val="7.4962423224217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FE2-4877-8B73-0F11895FF249}"/>
                </c:ext>
              </c:extLst>
            </c:dLbl>
            <c:dLbl>
              <c:idx val="2"/>
              <c:layout>
                <c:manualLayout>
                  <c:x val="-4.8098266731898841E-2"/>
                  <c:y val="5.69822014681487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E2-4877-8B73-0F11895FF249}"/>
                </c:ext>
              </c:extLst>
            </c:dLbl>
            <c:dLbl>
              <c:idx val="3"/>
              <c:layout>
                <c:manualLayout>
                  <c:x val="-4.6795674573503643E-2"/>
                  <c:y val="9.294335286303176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5355058929474375E-2"/>
                      <c:h val="0.10779166538854502"/>
                    </c:manualLayout>
                  </c15:layout>
                </c:ext>
                <c:ext xmlns:c16="http://schemas.microsoft.com/office/drawing/2014/chart" uri="{C3380CC4-5D6E-409C-BE32-E72D297353CC}">
                  <c16:uniqueId val="{0000000C-5FE2-4877-8B73-0F11895FF2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Sheet5!$H$5:$H$9</c:f>
              <c:numCache>
                <c:formatCode>0.00</c:formatCode>
                <c:ptCount val="5"/>
                <c:pt idx="0" formatCode="General">
                  <c:v>0.81</c:v>
                </c:pt>
                <c:pt idx="1">
                  <c:v>0.75329999999999997</c:v>
                </c:pt>
                <c:pt idx="2">
                  <c:v>0.70056899999999989</c:v>
                </c:pt>
                <c:pt idx="3">
                  <c:v>0.56350757913299987</c:v>
                </c:pt>
                <c:pt idx="4">
                  <c:v>0.39202566881522727</c:v>
                </c:pt>
              </c:numCache>
            </c:numRef>
          </c:val>
          <c:smooth val="0"/>
          <c:extLst xmlns:c16r2="http://schemas.microsoft.com/office/drawing/2015/06/chart">
            <c:ext xmlns:c16="http://schemas.microsoft.com/office/drawing/2014/chart" uri="{C3380CC4-5D6E-409C-BE32-E72D297353CC}">
              <c16:uniqueId val="{00000000-5FE2-4877-8B73-0F11895FF249}"/>
            </c:ext>
          </c:extLst>
        </c:ser>
        <c:ser>
          <c:idx val="7"/>
          <c:order val="1"/>
          <c:tx>
            <c:strRef>
              <c:f>Sheet5!$I$4</c:f>
              <c:strCache>
                <c:ptCount val="1"/>
                <c:pt idx="0">
                  <c:v>Tx Mid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7.6755294216593384E-2"/>
                  <c:y val="-3.2918907312192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FE2-4877-8B73-0F11895FF249}"/>
                </c:ext>
              </c:extLst>
            </c:dLbl>
            <c:dLbl>
              <c:idx val="1"/>
              <c:layout>
                <c:manualLayout>
                  <c:x val="-2.4651607880785173E-2"/>
                  <c:y val="-3.2918907312192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FE2-4877-8B73-0F11895FF249}"/>
                </c:ext>
              </c:extLst>
            </c:dLbl>
            <c:dLbl>
              <c:idx val="2"/>
              <c:layout>
                <c:manualLayout>
                  <c:x val="-3.5072345147946875E-2"/>
                  <c:y val="-3.891231456421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FE2-4877-8B73-0F11895FF2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Sheet5!$I$5:$I$9</c:f>
              <c:numCache>
                <c:formatCode>0.00</c:formatCode>
                <c:ptCount val="5"/>
                <c:pt idx="0" formatCode="General">
                  <c:v>0.82</c:v>
                </c:pt>
                <c:pt idx="1">
                  <c:v>0.77899999999999991</c:v>
                </c:pt>
                <c:pt idx="2">
                  <c:v>0.74004999999999987</c:v>
                </c:pt>
                <c:pt idx="3">
                  <c:v>0.63450036874999982</c:v>
                </c:pt>
                <c:pt idx="4">
                  <c:v>0.49096429017547055</c:v>
                </c:pt>
              </c:numCache>
            </c:numRef>
          </c:val>
          <c:smooth val="0"/>
          <c:extLst xmlns:c16r2="http://schemas.microsoft.com/office/drawing/2015/06/chart">
            <c:ext xmlns:c16="http://schemas.microsoft.com/office/drawing/2014/chart" uri="{C3380CC4-5D6E-409C-BE32-E72D297353CC}">
              <c16:uniqueId val="{00000001-5FE2-4877-8B73-0F11895FF249}"/>
            </c:ext>
          </c:extLst>
        </c:ser>
        <c:ser>
          <c:idx val="8"/>
          <c:order val="2"/>
          <c:tx>
            <c:strRef>
              <c:f>Sheet5!$J$4</c:f>
              <c:strCache>
                <c:ptCount val="1"/>
                <c:pt idx="0">
                  <c:v>Tx best</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Sheet5!$A$5:$A$9</c:f>
              <c:strCache>
                <c:ptCount val="5"/>
                <c:pt idx="0">
                  <c:v>year 0</c:v>
                </c:pt>
                <c:pt idx="1">
                  <c:v>year 1</c:v>
                </c:pt>
                <c:pt idx="2">
                  <c:v>year 2</c:v>
                </c:pt>
                <c:pt idx="3">
                  <c:v>year 5</c:v>
                </c:pt>
                <c:pt idx="4">
                  <c:v>year 10</c:v>
                </c:pt>
              </c:strCache>
            </c:strRef>
          </c:cat>
          <c:val>
            <c:numRef>
              <c:f>Sheet5!$J$5:$J$9</c:f>
              <c:numCache>
                <c:formatCode>0.00</c:formatCode>
                <c:ptCount val="5"/>
                <c:pt idx="0" formatCode="General">
                  <c:v>0.86</c:v>
                </c:pt>
                <c:pt idx="1">
                  <c:v>0.83419999999999994</c:v>
                </c:pt>
                <c:pt idx="2">
                  <c:v>0.80917399999999995</c:v>
                </c:pt>
                <c:pt idx="3">
                  <c:v>0.73851126210199991</c:v>
                </c:pt>
                <c:pt idx="4">
                  <c:v>0.63418474912963818</c:v>
                </c:pt>
              </c:numCache>
            </c:numRef>
          </c:val>
          <c:smooth val="0"/>
          <c:extLst xmlns:c16r2="http://schemas.microsoft.com/office/drawing/2015/06/chart">
            <c:ext xmlns:c16="http://schemas.microsoft.com/office/drawing/2014/chart" uri="{C3380CC4-5D6E-409C-BE32-E72D297353CC}">
              <c16:uniqueId val="{00000002-5FE2-4877-8B73-0F11895FF249}"/>
            </c:ext>
          </c:extLst>
        </c:ser>
        <c:dLbls>
          <c:dLblPos val="t"/>
          <c:showLegendKey val="0"/>
          <c:showVal val="1"/>
          <c:showCatName val="0"/>
          <c:showSerName val="0"/>
          <c:showPercent val="0"/>
          <c:showBubbleSize val="0"/>
        </c:dLbls>
        <c:marker val="1"/>
        <c:smooth val="0"/>
        <c:axId val="99543296"/>
        <c:axId val="9956147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Sheet5!$B$4</c15:sqref>
                        </c15:formulaRef>
                      </c:ext>
                    </c:extLst>
                    <c:strCache>
                      <c:ptCount val="1"/>
                      <c:pt idx="0">
                        <c:v>HD worst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c:ext uri="{02D57815-91ED-43cb-92C2-25804820EDAC}">
                        <c15:formulaRef>
                          <c15:sqref>Sheet5!$B$5:$B$9</c15:sqref>
                        </c15:formulaRef>
                      </c:ext>
                    </c:extLst>
                    <c:numCache>
                      <c:formatCode>0.00</c:formatCode>
                      <c:ptCount val="5"/>
                      <c:pt idx="0">
                        <c:v>0.44</c:v>
                      </c:pt>
                      <c:pt idx="1">
                        <c:v>0.40919999999999995</c:v>
                      </c:pt>
                      <c:pt idx="2">
                        <c:v>0.38055599999999995</c:v>
                      </c:pt>
                      <c:pt idx="3">
                        <c:v>0.30610288249199991</c:v>
                      </c:pt>
                      <c:pt idx="4">
                        <c:v>0.21295221515888887</c:v>
                      </c:pt>
                    </c:numCache>
                  </c:numRef>
                </c:val>
                <c:smooth val="0"/>
                <c:extLst>
                  <c:ext xmlns:c16="http://schemas.microsoft.com/office/drawing/2014/chart" uri="{C3380CC4-5D6E-409C-BE32-E72D297353CC}">
                    <c16:uniqueId val="{00000003-5FE2-4877-8B73-0F11895FF24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Sheet5!$C$4</c15:sqref>
                        </c15:formulaRef>
                      </c:ext>
                    </c:extLst>
                    <c:strCache>
                      <c:ptCount val="1"/>
                      <c:pt idx="0">
                        <c:v>HD Mid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Sheet5!$C$5:$C$9</c15:sqref>
                        </c15:formulaRef>
                      </c:ext>
                    </c:extLst>
                    <c:numCache>
                      <c:formatCode>0.00</c:formatCode>
                      <c:ptCount val="5"/>
                      <c:pt idx="0">
                        <c:v>0.56000000000000005</c:v>
                      </c:pt>
                      <c:pt idx="1">
                        <c:v>0.53200000000000003</c:v>
                      </c:pt>
                      <c:pt idx="2">
                        <c:v>0.50539999999999996</c:v>
                      </c:pt>
                      <c:pt idx="3">
                        <c:v>0.43331732499999992</c:v>
                      </c:pt>
                      <c:pt idx="4">
                        <c:v>0.3352926859734921</c:v>
                      </c:pt>
                    </c:numCache>
                  </c:numRef>
                </c:val>
                <c:smooth val="0"/>
                <c:extLst xmlns:c15="http://schemas.microsoft.com/office/drawing/2012/chart">
                  <c:ext xmlns:c16="http://schemas.microsoft.com/office/drawing/2014/chart" uri="{C3380CC4-5D6E-409C-BE32-E72D297353CC}">
                    <c16:uniqueId val="{00000004-5FE2-4877-8B73-0F11895FF2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Sheet5!$D$4</c15:sqref>
                        </c15:formulaRef>
                      </c:ext>
                    </c:extLst>
                    <c:strCache>
                      <c:ptCount val="1"/>
                      <c:pt idx="0">
                        <c:v>HD best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Sheet5!$D$5:$D$9</c15:sqref>
                        </c15:formulaRef>
                      </c:ext>
                    </c:extLst>
                    <c:numCache>
                      <c:formatCode>0.00</c:formatCode>
                      <c:ptCount val="5"/>
                      <c:pt idx="0">
                        <c:v>0.69</c:v>
                      </c:pt>
                      <c:pt idx="1">
                        <c:v>0.6692999999999999</c:v>
                      </c:pt>
                      <c:pt idx="2">
                        <c:v>0.64922099999999983</c:v>
                      </c:pt>
                      <c:pt idx="3">
                        <c:v>0.55662585487499983</c:v>
                      </c:pt>
                      <c:pt idx="4">
                        <c:v>0.4779935611655125</c:v>
                      </c:pt>
                    </c:numCache>
                  </c:numRef>
                </c:val>
                <c:smooth val="0"/>
                <c:extLst xmlns:c15="http://schemas.microsoft.com/office/drawing/2012/chart">
                  <c:ext xmlns:c16="http://schemas.microsoft.com/office/drawing/2014/chart" uri="{C3380CC4-5D6E-409C-BE32-E72D297353CC}">
                    <c16:uniqueId val="{00000005-5FE2-4877-8B73-0F11895FF2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Sheet5!$E$4</c15:sqref>
                        </c15:formulaRef>
                      </c:ext>
                    </c:extLst>
                    <c:strCache>
                      <c:ptCount val="1"/>
                      <c:pt idx="0">
                        <c:v>PD worst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Sheet5!$E$5:$E$9</c15:sqref>
                        </c15:formulaRef>
                      </c:ext>
                    </c:extLst>
                    <c:numCache>
                      <c:formatCode>0.00</c:formatCode>
                      <c:ptCount val="5"/>
                      <c:pt idx="0">
                        <c:v>0.57999999999999996</c:v>
                      </c:pt>
                      <c:pt idx="1">
                        <c:v>0.53939999999999988</c:v>
                      </c:pt>
                      <c:pt idx="2">
                        <c:v>0.50164199999999981</c:v>
                      </c:pt>
                      <c:pt idx="3">
                        <c:v>0.40349925419399979</c:v>
                      </c:pt>
                      <c:pt idx="4">
                        <c:v>0.28070973816398981</c:v>
                      </c:pt>
                    </c:numCache>
                  </c:numRef>
                </c:val>
                <c:smooth val="0"/>
                <c:extLst xmlns:c15="http://schemas.microsoft.com/office/drawing/2012/chart">
                  <c:ext xmlns:c16="http://schemas.microsoft.com/office/drawing/2014/chart" uri="{C3380CC4-5D6E-409C-BE32-E72D297353CC}">
                    <c16:uniqueId val="{00000006-5FE2-4877-8B73-0F11895FF24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Sheet5!$F$4</c15:sqref>
                        </c15:formulaRef>
                      </c:ext>
                    </c:extLst>
                    <c:strCache>
                      <c:ptCount val="1"/>
                      <c:pt idx="0">
                        <c:v>PD Mid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Sheet5!$F$5:$F$9</c15:sqref>
                        </c15:formulaRef>
                      </c:ext>
                    </c:extLst>
                    <c:numCache>
                      <c:formatCode>0.00</c:formatCode>
                      <c:ptCount val="5"/>
                      <c:pt idx="0">
                        <c:v>0.65</c:v>
                      </c:pt>
                      <c:pt idx="1">
                        <c:v>0.61749999999999994</c:v>
                      </c:pt>
                      <c:pt idx="2">
                        <c:v>0.58662499999999995</c:v>
                      </c:pt>
                      <c:pt idx="3">
                        <c:v>0.50295760937499989</c:v>
                      </c:pt>
                      <c:pt idx="4">
                        <c:v>0.38917901050494619</c:v>
                      </c:pt>
                    </c:numCache>
                  </c:numRef>
                </c:val>
                <c:smooth val="0"/>
                <c:extLst xmlns:c15="http://schemas.microsoft.com/office/drawing/2012/chart">
                  <c:ext xmlns:c16="http://schemas.microsoft.com/office/drawing/2014/chart" uri="{C3380CC4-5D6E-409C-BE32-E72D297353CC}">
                    <c16:uniqueId val="{00000007-5FE2-4877-8B73-0F11895FF24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Sheet5!$G$4</c15:sqref>
                        </c15:formulaRef>
                      </c:ext>
                    </c:extLst>
                    <c:strCache>
                      <c:ptCount val="1"/>
                      <c:pt idx="0">
                        <c:v>PD best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Sheet5!$A$5:$A$9</c15:sqref>
                        </c15:formulaRef>
                      </c:ext>
                    </c:extLst>
                    <c:strCache>
                      <c:ptCount val="5"/>
                      <c:pt idx="0">
                        <c:v>year 0</c:v>
                      </c:pt>
                      <c:pt idx="1">
                        <c:v>year 1</c:v>
                      </c:pt>
                      <c:pt idx="2">
                        <c:v>year 2</c:v>
                      </c:pt>
                      <c:pt idx="3">
                        <c:v>year 5</c:v>
                      </c:pt>
                      <c:pt idx="4">
                        <c:v>year 10</c:v>
                      </c:pt>
                    </c:strCache>
                  </c:strRef>
                </c:cat>
                <c:val>
                  <c:numRef>
                    <c:extLst xmlns:c15="http://schemas.microsoft.com/office/drawing/2012/chart">
                      <c:ext xmlns:c15="http://schemas.microsoft.com/office/drawing/2012/chart" uri="{02D57815-91ED-43cb-92C2-25804820EDAC}">
                        <c15:formulaRef>
                          <c15:sqref>Sheet5!$G$5:$G$9</c15:sqref>
                        </c15:formulaRef>
                      </c:ext>
                    </c:extLst>
                    <c:numCache>
                      <c:formatCode>0.00</c:formatCode>
                      <c:ptCount val="5"/>
                      <c:pt idx="0">
                        <c:v>0.72</c:v>
                      </c:pt>
                      <c:pt idx="1">
                        <c:v>0.69839999999999991</c:v>
                      </c:pt>
                      <c:pt idx="2">
                        <c:v>0.67744799999999994</c:v>
                      </c:pt>
                      <c:pt idx="3">
                        <c:v>0.58082697899999991</c:v>
                      </c:pt>
                      <c:pt idx="4">
                        <c:v>0.49877588991183924</c:v>
                      </c:pt>
                    </c:numCache>
                  </c:numRef>
                </c:val>
                <c:smooth val="0"/>
                <c:extLst xmlns:c15="http://schemas.microsoft.com/office/drawing/2012/chart">
                  <c:ext xmlns:c16="http://schemas.microsoft.com/office/drawing/2014/chart" uri="{C3380CC4-5D6E-409C-BE32-E72D297353CC}">
                    <c16:uniqueId val="{00000008-5FE2-4877-8B73-0F11895FF249}"/>
                  </c:ext>
                </c:extLst>
              </c15:ser>
            </c15:filteredLineSeries>
          </c:ext>
        </c:extLst>
      </c:lineChart>
      <c:catAx>
        <c:axId val="995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99561472"/>
        <c:crosses val="autoZero"/>
        <c:auto val="1"/>
        <c:lblAlgn val="ctr"/>
        <c:lblOffset val="100"/>
        <c:noMultiLvlLbl val="0"/>
      </c:catAx>
      <c:valAx>
        <c:axId val="99561472"/>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99543296"/>
        <c:crosses val="autoZero"/>
        <c:crossBetween val="between"/>
      </c:valAx>
      <c:spPr>
        <a:noFill/>
        <a:ln>
          <a:noFill/>
        </a:ln>
        <a:effectLst/>
      </c:spPr>
    </c:plotArea>
    <c:legend>
      <c:legendPos val="b"/>
      <c:layout>
        <c:manualLayout>
          <c:xMode val="edge"/>
          <c:yMode val="edge"/>
          <c:x val="0.11824912510936134"/>
          <c:y val="0.78761519393409141"/>
          <c:w val="0.51350153105861762"/>
          <c:h val="7.812554680664918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900" b="1">
                <a:solidFill>
                  <a:sysClr val="windowText" lastClr="000000"/>
                </a:solidFill>
              </a:rPr>
              <a:t>Tx-patientöverlevnad (justerad för ålder, kön, diagnos)</a:t>
            </a:r>
          </a:p>
        </c:rich>
      </c:tx>
      <c:layout>
        <c:manualLayout>
          <c:xMode val="edge"/>
          <c:yMode val="edge"/>
          <c:x val="0.17549300087489064"/>
          <c:y val="2.3146944557376033E-2"/>
        </c:manualLayout>
      </c:layout>
      <c:overlay val="0"/>
      <c:spPr>
        <a:noFill/>
        <a:ln>
          <a:noFill/>
        </a:ln>
        <a:effectLst/>
      </c:spPr>
    </c:title>
    <c:autoTitleDeleted val="0"/>
    <c:plotArea>
      <c:layout>
        <c:manualLayout>
          <c:layoutTarget val="inner"/>
          <c:xMode val="edge"/>
          <c:yMode val="edge"/>
          <c:x val="6.8136482939632551E-2"/>
          <c:y val="0.10486111111111111"/>
          <c:w val="0.90686351706036761"/>
          <c:h val="0.81088764946048408"/>
        </c:manualLayout>
      </c:layout>
      <c:lineChart>
        <c:grouping val="standard"/>
        <c:varyColors val="0"/>
        <c:ser>
          <c:idx val="1"/>
          <c:order val="0"/>
          <c:tx>
            <c:strRef>
              <c:f>COMPARE!$BB$67</c:f>
              <c:strCache>
                <c:ptCount val="1"/>
                <c:pt idx="0">
                  <c:v>20-44</c:v>
                </c:pt>
              </c:strCache>
            </c:strRef>
          </c:tx>
          <c:spPr>
            <a:ln w="12700" cap="flat">
              <a:solidFill>
                <a:srgbClr val="FF0000"/>
              </a:solidFill>
              <a:miter lim="800000"/>
            </a:ln>
            <a:effectLst/>
          </c:spPr>
          <c:marker>
            <c:symbol val="circle"/>
            <c:size val="5"/>
            <c:spPr>
              <a:solidFill>
                <a:srgbClr val="FF0000"/>
              </a:solidFill>
              <a:ln w="0">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COMPARE!$BC$65:$BF$65</c:f>
              <c:strCache>
                <c:ptCount val="4"/>
                <c:pt idx="0">
                  <c:v>År 1</c:v>
                </c:pt>
                <c:pt idx="1">
                  <c:v>År 2</c:v>
                </c:pt>
                <c:pt idx="2">
                  <c:v>År 5</c:v>
                </c:pt>
                <c:pt idx="3">
                  <c:v>År 10</c:v>
                </c:pt>
              </c:strCache>
            </c:strRef>
          </c:cat>
          <c:val>
            <c:numRef>
              <c:f>COMPARE!$BC$67:$BF$67</c:f>
              <c:numCache>
                <c:formatCode>0.0</c:formatCode>
                <c:ptCount val="4"/>
                <c:pt idx="0">
                  <c:v>99.5</c:v>
                </c:pt>
                <c:pt idx="1">
                  <c:v>98.5</c:v>
                </c:pt>
                <c:pt idx="2">
                  <c:v>97.99777553083922</c:v>
                </c:pt>
                <c:pt idx="3">
                  <c:v>95.916248906016094</c:v>
                </c:pt>
              </c:numCache>
            </c:numRef>
          </c:val>
          <c:smooth val="0"/>
          <c:extLst xmlns:c16r2="http://schemas.microsoft.com/office/drawing/2015/06/chart">
            <c:ext xmlns:c16="http://schemas.microsoft.com/office/drawing/2014/chart" uri="{C3380CC4-5D6E-409C-BE32-E72D297353CC}">
              <c16:uniqueId val="{00000000-D00C-4C52-80E1-56513668AD30}"/>
            </c:ext>
          </c:extLst>
        </c:ser>
        <c:ser>
          <c:idx val="2"/>
          <c:order val="1"/>
          <c:tx>
            <c:strRef>
              <c:f>COMPARE!$BB$68</c:f>
              <c:strCache>
                <c:ptCount val="1"/>
                <c:pt idx="0">
                  <c:v>45-64</c:v>
                </c:pt>
              </c:strCache>
            </c:strRef>
          </c:tx>
          <c:spPr>
            <a:ln w="12700" cap="rnd">
              <a:solidFill>
                <a:schemeClr val="accent3"/>
              </a:solidFill>
              <a:round/>
            </a:ln>
            <a:effectLst/>
          </c:spPr>
          <c:marker>
            <c:symbol val="circle"/>
            <c:size val="5"/>
            <c:spPr>
              <a:solidFill>
                <a:schemeClr val="accent3"/>
              </a:solidFill>
              <a:ln w="0">
                <a:solidFill>
                  <a:schemeClr val="accent3"/>
                </a:solidFill>
              </a:ln>
              <a:effectLst/>
            </c:spPr>
          </c:marker>
          <c:dLbls>
            <c:dLbl>
              <c:idx val="0"/>
              <c:layout>
                <c:manualLayout>
                  <c:x val="-8.7395888013998266E-2"/>
                  <c:y val="-6.911413220835239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0C-4C52-80E1-56513668AD30}"/>
                </c:ext>
              </c:extLst>
            </c:dLbl>
            <c:dLbl>
              <c:idx val="1"/>
              <c:layout>
                <c:manualLayout>
                  <c:x val="-3.7395888013998298E-2"/>
                  <c:y val="-3.00649209772603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0C-4C52-80E1-56513668AD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COMPARE!$BC$65:$BF$65</c:f>
              <c:strCache>
                <c:ptCount val="4"/>
                <c:pt idx="0">
                  <c:v>År 1</c:v>
                </c:pt>
                <c:pt idx="1">
                  <c:v>År 2</c:v>
                </c:pt>
                <c:pt idx="2">
                  <c:v>År 5</c:v>
                </c:pt>
                <c:pt idx="3">
                  <c:v>År 10</c:v>
                </c:pt>
              </c:strCache>
            </c:strRef>
          </c:cat>
          <c:val>
            <c:numRef>
              <c:f>COMPARE!$BC$68:$BF$68</c:f>
              <c:numCache>
                <c:formatCode>0.0</c:formatCode>
                <c:ptCount val="4"/>
                <c:pt idx="0">
                  <c:v>96.9</c:v>
                </c:pt>
                <c:pt idx="1">
                  <c:v>95.6</c:v>
                </c:pt>
                <c:pt idx="2">
                  <c:v>93.162848297213628</c:v>
                </c:pt>
                <c:pt idx="3">
                  <c:v>83.029876904631195</c:v>
                </c:pt>
              </c:numCache>
            </c:numRef>
          </c:val>
          <c:smooth val="0"/>
          <c:extLst xmlns:c16r2="http://schemas.microsoft.com/office/drawing/2015/06/chart">
            <c:ext xmlns:c16="http://schemas.microsoft.com/office/drawing/2014/chart" uri="{C3380CC4-5D6E-409C-BE32-E72D297353CC}">
              <c16:uniqueId val="{00000003-D00C-4C52-80E1-56513668AD30}"/>
            </c:ext>
          </c:extLst>
        </c:ser>
        <c:ser>
          <c:idx val="3"/>
          <c:order val="2"/>
          <c:tx>
            <c:strRef>
              <c:f>COMPARE!$BB$69</c:f>
              <c:strCache>
                <c:ptCount val="1"/>
                <c:pt idx="0">
                  <c:v>65+</c:v>
                </c:pt>
              </c:strCache>
            </c:strRef>
          </c:tx>
          <c:spPr>
            <a:ln w="12700" cap="rnd">
              <a:solidFill>
                <a:sysClr val="windowText" lastClr="000000"/>
              </a:solidFill>
              <a:round/>
            </a:ln>
            <a:effectLst/>
          </c:spPr>
          <c:marker>
            <c:symbol val="circle"/>
            <c:size val="5"/>
            <c:spPr>
              <a:solidFill>
                <a:schemeClr val="tx1">
                  <a:alpha val="97000"/>
                </a:schemeClr>
              </a:solidFill>
              <a:ln w="0">
                <a:solidFill>
                  <a:sysClr val="windowText" lastClr="000000"/>
                </a:solidFill>
              </a:ln>
              <a:effectLst/>
            </c:spPr>
          </c:marker>
          <c:dLbls>
            <c:dLbl>
              <c:idx val="0"/>
              <c:layout>
                <c:manualLayout>
                  <c:x val="-4.8506999125109362E-2"/>
                  <c:y val="4.86570053945849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0C-4C52-80E1-56513668AD30}"/>
                </c:ext>
              </c:extLst>
            </c:dLbl>
            <c:dLbl>
              <c:idx val="1"/>
              <c:layout>
                <c:manualLayout>
                  <c:x val="-5.4062554680664968E-2"/>
                  <c:y val="5.3287706945870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0C-4C52-80E1-56513668AD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COMPARE!$BC$65:$BF$65</c:f>
              <c:strCache>
                <c:ptCount val="4"/>
                <c:pt idx="0">
                  <c:v>År 1</c:v>
                </c:pt>
                <c:pt idx="1">
                  <c:v>År 2</c:v>
                </c:pt>
                <c:pt idx="2">
                  <c:v>År 5</c:v>
                </c:pt>
                <c:pt idx="3">
                  <c:v>År 10</c:v>
                </c:pt>
              </c:strCache>
            </c:strRef>
          </c:cat>
          <c:val>
            <c:numRef>
              <c:f>COMPARE!$BC$69:$BF$69</c:f>
              <c:numCache>
                <c:formatCode>0.0</c:formatCode>
                <c:ptCount val="4"/>
                <c:pt idx="0">
                  <c:v>96.5</c:v>
                </c:pt>
                <c:pt idx="1">
                  <c:v>94.4</c:v>
                </c:pt>
                <c:pt idx="2">
                  <c:v>83.354700854700866</c:v>
                </c:pt>
                <c:pt idx="3">
                  <c:v>63.471584373237199</c:v>
                </c:pt>
              </c:numCache>
            </c:numRef>
          </c:val>
          <c:smooth val="0"/>
          <c:extLst xmlns:c16r2="http://schemas.microsoft.com/office/drawing/2015/06/chart">
            <c:ext xmlns:c16="http://schemas.microsoft.com/office/drawing/2014/chart" uri="{C3380CC4-5D6E-409C-BE32-E72D297353CC}">
              <c16:uniqueId val="{00000006-D00C-4C52-80E1-56513668AD30}"/>
            </c:ext>
          </c:extLst>
        </c:ser>
        <c:dLbls>
          <c:dLblPos val="t"/>
          <c:showLegendKey val="0"/>
          <c:showVal val="1"/>
          <c:showCatName val="0"/>
          <c:showSerName val="0"/>
          <c:showPercent val="0"/>
          <c:showBubbleSize val="0"/>
        </c:dLbls>
        <c:marker val="1"/>
        <c:smooth val="0"/>
        <c:axId val="102112256"/>
        <c:axId val="10212633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COMPARE!$BB$66</c15:sqref>
                        </c15:formulaRef>
                      </c:ext>
                    </c:extLst>
                    <c:strCache>
                      <c:ptCount val="1"/>
                      <c:pt idx="0">
                        <c:v>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COMPARE!$BC$65:$BF$65</c15:sqref>
                        </c15:formulaRef>
                      </c:ext>
                    </c:extLst>
                    <c:strCache>
                      <c:ptCount val="4"/>
                      <c:pt idx="0">
                        <c:v>År 1</c:v>
                      </c:pt>
                      <c:pt idx="1">
                        <c:v>År 2</c:v>
                      </c:pt>
                      <c:pt idx="2">
                        <c:v>År 5</c:v>
                      </c:pt>
                      <c:pt idx="3">
                        <c:v>År 10</c:v>
                      </c:pt>
                    </c:strCache>
                  </c:strRef>
                </c:cat>
                <c:val>
                  <c:numRef>
                    <c:extLst>
                      <c:ext uri="{02D57815-91ED-43cb-92C2-25804820EDAC}">
                        <c15:formulaRef>
                          <c15:sqref>COMPARE!$BC$66:$BF$66</c15:sqref>
                        </c15:formulaRef>
                      </c:ext>
                    </c:extLst>
                    <c:numCache>
                      <c:formatCode>General</c:formatCode>
                      <c:ptCount val="4"/>
                    </c:numCache>
                  </c:numRef>
                </c:val>
                <c:smooth val="0"/>
                <c:extLst>
                  <c:ext xmlns:c16="http://schemas.microsoft.com/office/drawing/2014/chart" uri="{C3380CC4-5D6E-409C-BE32-E72D297353CC}">
                    <c16:uniqueId val="{00000007-D00C-4C52-80E1-56513668AD30}"/>
                  </c:ext>
                </c:extLst>
              </c15:ser>
            </c15:filteredLineSeries>
          </c:ext>
        </c:extLst>
      </c:lineChart>
      <c:catAx>
        <c:axId val="1021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2126336"/>
        <c:crosses val="autoZero"/>
        <c:auto val="1"/>
        <c:lblAlgn val="ctr"/>
        <c:lblOffset val="100"/>
        <c:noMultiLvlLbl val="0"/>
      </c:catAx>
      <c:valAx>
        <c:axId val="102126336"/>
        <c:scaling>
          <c:orientation val="minMax"/>
          <c:max val="110"/>
          <c:min val="6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2112256"/>
        <c:crosses val="autoZero"/>
        <c:crossBetween val="between"/>
      </c:valAx>
      <c:spPr>
        <a:noFill/>
        <a:ln>
          <a:noFill/>
        </a:ln>
        <a:effectLst/>
      </c:spPr>
    </c:plotArea>
    <c:legend>
      <c:legendPos val="b"/>
      <c:layout>
        <c:manualLayout>
          <c:xMode val="edge"/>
          <c:yMode val="edge"/>
          <c:x val="9.2180446194225718E-2"/>
          <c:y val="0.81539297171186931"/>
          <c:w val="0.5581682974081934"/>
          <c:h val="7.863144002808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800" b="1">
                <a:solidFill>
                  <a:schemeClr val="tx1"/>
                </a:solidFill>
              </a:rPr>
              <a:t>HD/PD-patientöverlevnad (justerad för ålder, kön,</a:t>
            </a:r>
            <a:r>
              <a:rPr lang="sv-SE" sz="800" b="1" baseline="0">
                <a:solidFill>
                  <a:schemeClr val="tx1"/>
                </a:solidFill>
              </a:rPr>
              <a:t> diagnos</a:t>
            </a:r>
            <a:r>
              <a:rPr lang="sv-SE" sz="800" b="1">
                <a:solidFill>
                  <a:schemeClr val="tx1"/>
                </a:solidFill>
              </a:rPr>
              <a:t>)</a:t>
            </a:r>
          </a:p>
        </c:rich>
      </c:tx>
      <c:overlay val="0"/>
      <c:spPr>
        <a:noFill/>
        <a:ln>
          <a:noFill/>
        </a:ln>
        <a:effectLst/>
      </c:spPr>
    </c:title>
    <c:autoTitleDeleted val="0"/>
    <c:plotArea>
      <c:layout>
        <c:manualLayout>
          <c:layoutTarget val="inner"/>
          <c:xMode val="edge"/>
          <c:yMode val="edge"/>
          <c:x val="7.2461067366579174E-2"/>
          <c:y val="0.13780110819480898"/>
          <c:w val="0.89698337707786524"/>
          <c:h val="0.76926655001458155"/>
        </c:manualLayout>
      </c:layout>
      <c:lineChart>
        <c:grouping val="standard"/>
        <c:varyColors val="0"/>
        <c:ser>
          <c:idx val="0"/>
          <c:order val="0"/>
          <c:tx>
            <c:strRef>
              <c:f>COMPARE!#REF!</c:f>
              <c:strCache>
                <c:ptCount val="1"/>
                <c:pt idx="0">
                  <c:v>#REF!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COMPARE!$BC$73:$BF$73</c:f>
              <c:strCache>
                <c:ptCount val="4"/>
                <c:pt idx="0">
                  <c:v>År 1</c:v>
                </c:pt>
                <c:pt idx="1">
                  <c:v>År 2</c:v>
                </c:pt>
                <c:pt idx="2">
                  <c:v>År 5</c:v>
                </c:pt>
                <c:pt idx="3">
                  <c:v>År 10</c:v>
                </c:pt>
              </c:strCache>
            </c:strRef>
          </c:cat>
          <c:val>
            <c:numRef>
              <c:f>COMPARE!#REF!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AFEF-4682-821C-7C74AB7F508A}"/>
            </c:ext>
          </c:extLst>
        </c:ser>
        <c:ser>
          <c:idx val="1"/>
          <c:order val="1"/>
          <c:tx>
            <c:strRef>
              <c:f>COMPARE!$BB$74</c:f>
              <c:strCache>
                <c:ptCount val="1"/>
                <c:pt idx="0">
                  <c:v>20-44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1"/>
            <c:marker>
              <c:spPr>
                <a:solidFill>
                  <a:srgbClr val="FF0000"/>
                </a:solidFill>
                <a:ln w="9525">
                  <a:solidFill>
                    <a:srgbClr val="FF0000"/>
                  </a:solidFill>
                </a:ln>
                <a:effectLst/>
              </c:spPr>
            </c:marker>
            <c:bubble3D val="0"/>
            <c:spPr>
              <a:ln w="19050" cap="rnd">
                <a:solidFill>
                  <a:srgbClr val="FF0000"/>
                </a:solidFill>
                <a:round/>
              </a:ln>
              <a:effectLst/>
            </c:spPr>
            <c:extLst xmlns:c16r2="http://schemas.microsoft.com/office/drawing/2015/06/chart">
              <c:ext xmlns:c16="http://schemas.microsoft.com/office/drawing/2014/chart" uri="{C3380CC4-5D6E-409C-BE32-E72D297353CC}">
                <c16:uniqueId val="{00000006-AFEF-4682-821C-7C74AB7F508A}"/>
              </c:ext>
            </c:extLst>
          </c:dPt>
          <c:dPt>
            <c:idx val="2"/>
            <c:marker>
              <c:spPr>
                <a:solidFill>
                  <a:srgbClr val="FF0000"/>
                </a:solidFill>
                <a:ln w="9525">
                  <a:solidFill>
                    <a:srgbClr val="FF0000"/>
                  </a:solidFill>
                </a:ln>
                <a:effectLst/>
              </c:spPr>
            </c:marker>
            <c:bubble3D val="0"/>
            <c:spPr>
              <a:ln w="19050" cap="rnd">
                <a:solidFill>
                  <a:srgbClr val="FF0000"/>
                </a:solidFill>
                <a:round/>
              </a:ln>
              <a:effectLst/>
            </c:spPr>
            <c:extLst xmlns:c16r2="http://schemas.microsoft.com/office/drawing/2015/06/chart">
              <c:ext xmlns:c16="http://schemas.microsoft.com/office/drawing/2014/chart" uri="{C3380CC4-5D6E-409C-BE32-E72D297353CC}">
                <c16:uniqueId val="{00000004-AFEF-4682-821C-7C74AB7F508A}"/>
              </c:ext>
            </c:extLst>
          </c:dPt>
          <c:dPt>
            <c:idx val="3"/>
            <c:marker>
              <c:spPr>
                <a:solidFill>
                  <a:srgbClr val="FF0000"/>
                </a:solidFill>
                <a:ln w="9525">
                  <a:solidFill>
                    <a:srgbClr val="FF0000"/>
                  </a:solidFill>
                </a:ln>
                <a:effectLst/>
              </c:spPr>
            </c:marker>
            <c:bubble3D val="0"/>
            <c:spPr>
              <a:ln w="19050" cap="rnd">
                <a:solidFill>
                  <a:srgbClr val="FF0000"/>
                </a:solidFill>
                <a:round/>
              </a:ln>
              <a:effectLst/>
            </c:spPr>
            <c:extLst xmlns:c16r2="http://schemas.microsoft.com/office/drawing/2015/06/chart">
              <c:ext xmlns:c16="http://schemas.microsoft.com/office/drawing/2014/chart" uri="{C3380CC4-5D6E-409C-BE32-E72D297353CC}">
                <c16:uniqueId val="{00000005-AFEF-4682-821C-7C74AB7F508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COMPARE!$BC$73:$BF$73</c:f>
              <c:strCache>
                <c:ptCount val="4"/>
                <c:pt idx="0">
                  <c:v>År 1</c:v>
                </c:pt>
                <c:pt idx="1">
                  <c:v>År 2</c:v>
                </c:pt>
                <c:pt idx="2">
                  <c:v>År 5</c:v>
                </c:pt>
                <c:pt idx="3">
                  <c:v>År 10</c:v>
                </c:pt>
              </c:strCache>
            </c:strRef>
          </c:cat>
          <c:val>
            <c:numRef>
              <c:f>COMPARE!$BC$74:$BF$74</c:f>
              <c:numCache>
                <c:formatCode>0.0</c:formatCode>
                <c:ptCount val="4"/>
                <c:pt idx="0">
                  <c:v>96.3</c:v>
                </c:pt>
                <c:pt idx="1">
                  <c:v>92.5</c:v>
                </c:pt>
                <c:pt idx="2">
                  <c:v>80.5</c:v>
                </c:pt>
                <c:pt idx="3">
                  <c:v>52.800000000000004</c:v>
                </c:pt>
              </c:numCache>
            </c:numRef>
          </c:val>
          <c:smooth val="0"/>
          <c:extLst xmlns:c16r2="http://schemas.microsoft.com/office/drawing/2015/06/chart">
            <c:ext xmlns:c16="http://schemas.microsoft.com/office/drawing/2014/chart" uri="{C3380CC4-5D6E-409C-BE32-E72D297353CC}">
              <c16:uniqueId val="{00000001-AFEF-4682-821C-7C74AB7F508A}"/>
            </c:ext>
          </c:extLst>
        </c:ser>
        <c:ser>
          <c:idx val="2"/>
          <c:order val="2"/>
          <c:tx>
            <c:strRef>
              <c:f>COMPARE!$BB$75</c:f>
              <c:strCache>
                <c:ptCount val="1"/>
                <c:pt idx="0">
                  <c:v>45-64</c:v>
                </c:pt>
              </c:strCache>
            </c:strRef>
          </c:tx>
          <c:spPr>
            <a:ln w="158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0173665791776048E-2"/>
                  <c:y val="-3.468759113444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EF-4682-821C-7C74AB7F50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COMPARE!$BC$73:$BF$73</c:f>
              <c:strCache>
                <c:ptCount val="4"/>
                <c:pt idx="0">
                  <c:v>År 1</c:v>
                </c:pt>
                <c:pt idx="1">
                  <c:v>År 2</c:v>
                </c:pt>
                <c:pt idx="2">
                  <c:v>År 5</c:v>
                </c:pt>
                <c:pt idx="3">
                  <c:v>År 10</c:v>
                </c:pt>
              </c:strCache>
            </c:strRef>
          </c:cat>
          <c:val>
            <c:numRef>
              <c:f>COMPARE!$BC$75:$BF$75</c:f>
              <c:numCache>
                <c:formatCode>0.0</c:formatCode>
                <c:ptCount val="4"/>
                <c:pt idx="0">
                  <c:v>89.9</c:v>
                </c:pt>
                <c:pt idx="1">
                  <c:v>81.900000000000006</c:v>
                </c:pt>
                <c:pt idx="2">
                  <c:v>58.9</c:v>
                </c:pt>
                <c:pt idx="3">
                  <c:v>28.799999999999997</c:v>
                </c:pt>
              </c:numCache>
            </c:numRef>
          </c:val>
          <c:smooth val="0"/>
          <c:extLst xmlns:c16r2="http://schemas.microsoft.com/office/drawing/2015/06/chart">
            <c:ext xmlns:c16="http://schemas.microsoft.com/office/drawing/2014/chart" uri="{C3380CC4-5D6E-409C-BE32-E72D297353CC}">
              <c16:uniqueId val="{00000002-AFEF-4682-821C-7C74AB7F508A}"/>
            </c:ext>
          </c:extLst>
        </c:ser>
        <c:ser>
          <c:idx val="3"/>
          <c:order val="3"/>
          <c:tx>
            <c:strRef>
              <c:f>COMPARE!$BB$76</c:f>
              <c:strCache>
                <c:ptCount val="1"/>
                <c:pt idx="0">
                  <c:v>65+</c:v>
                </c:pt>
              </c:strCache>
            </c:strRef>
          </c:tx>
          <c:spPr>
            <a:ln w="1905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dLbl>
              <c:idx val="0"/>
              <c:layout>
                <c:manualLayout>
                  <c:x val="-8.739588801399828E-2"/>
                  <c:y val="-1.1539442986293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FEF-4682-821C-7C74AB7F50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COMPARE!$BC$73:$BF$73</c:f>
              <c:strCache>
                <c:ptCount val="4"/>
                <c:pt idx="0">
                  <c:v>År 1</c:v>
                </c:pt>
                <c:pt idx="1">
                  <c:v>År 2</c:v>
                </c:pt>
                <c:pt idx="2">
                  <c:v>År 5</c:v>
                </c:pt>
                <c:pt idx="3">
                  <c:v>År 10</c:v>
                </c:pt>
              </c:strCache>
            </c:strRef>
          </c:cat>
          <c:val>
            <c:numRef>
              <c:f>COMPARE!$BC$76:$BF$76</c:f>
              <c:numCache>
                <c:formatCode>0.0</c:formatCode>
                <c:ptCount val="4"/>
                <c:pt idx="0">
                  <c:v>79.680000000000007</c:v>
                </c:pt>
                <c:pt idx="1">
                  <c:v>66.680000000000007</c:v>
                </c:pt>
                <c:pt idx="2">
                  <c:v>36.820000000000007</c:v>
                </c:pt>
                <c:pt idx="3">
                  <c:v>6</c:v>
                </c:pt>
              </c:numCache>
            </c:numRef>
          </c:val>
          <c:smooth val="0"/>
          <c:extLst xmlns:c16r2="http://schemas.microsoft.com/office/drawing/2015/06/chart">
            <c:ext xmlns:c16="http://schemas.microsoft.com/office/drawing/2014/chart" uri="{C3380CC4-5D6E-409C-BE32-E72D297353CC}">
              <c16:uniqueId val="{00000003-AFEF-4682-821C-7C74AB7F508A}"/>
            </c:ext>
          </c:extLst>
        </c:ser>
        <c:dLbls>
          <c:dLblPos val="t"/>
          <c:showLegendKey val="0"/>
          <c:showVal val="1"/>
          <c:showCatName val="0"/>
          <c:showSerName val="0"/>
          <c:showPercent val="0"/>
          <c:showBubbleSize val="0"/>
        </c:dLbls>
        <c:marker val="1"/>
        <c:smooth val="0"/>
        <c:axId val="102850560"/>
        <c:axId val="102852096"/>
      </c:lineChart>
      <c:catAx>
        <c:axId val="1028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2852096"/>
        <c:crosses val="autoZero"/>
        <c:auto val="1"/>
        <c:lblAlgn val="ctr"/>
        <c:lblOffset val="100"/>
        <c:noMultiLvlLbl val="0"/>
      </c:catAx>
      <c:valAx>
        <c:axId val="102852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2850560"/>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v-SE"/>
          </a:p>
        </c:txPr>
      </c:legendEntry>
      <c:layout>
        <c:manualLayout>
          <c:xMode val="edge"/>
          <c:yMode val="edge"/>
          <c:x val="0.17346106736657918"/>
          <c:y val="0.79687445319335082"/>
          <c:w val="0.42530008748906389"/>
          <c:h val="7.812554680664916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v-SE" sz="900">
                <a:solidFill>
                  <a:sysClr val="windowText" lastClr="000000"/>
                </a:solidFill>
              </a:rPr>
              <a:t>Befolkningsstrukturerna</a:t>
            </a:r>
            <a:r>
              <a:rPr lang="sv-SE" sz="900" baseline="0">
                <a:solidFill>
                  <a:sysClr val="windowText" lastClr="000000"/>
                </a:solidFill>
              </a:rPr>
              <a:t> i Storbritannien och Sverige</a:t>
            </a:r>
          </a:p>
        </c:rich>
      </c:tx>
      <c:overlay val="0"/>
      <c:spPr>
        <a:noFill/>
        <a:ln>
          <a:noFill/>
        </a:ln>
        <a:effectLst/>
      </c:spPr>
    </c:title>
    <c:autoTitleDeleted val="0"/>
    <c:plotArea>
      <c:layout>
        <c:manualLayout>
          <c:layoutTarget val="inner"/>
          <c:xMode val="edge"/>
          <c:yMode val="edge"/>
          <c:x val="8.980185946629822E-2"/>
          <c:y val="0.13972960257081732"/>
          <c:w val="0.88112837309184133"/>
          <c:h val="0.7691008353380856"/>
        </c:manualLayout>
      </c:layout>
      <c:lineChart>
        <c:grouping val="standard"/>
        <c:varyColors val="0"/>
        <c:ser>
          <c:idx val="2"/>
          <c:order val="0"/>
          <c:tx>
            <c:strRef>
              <c:f>Demography!$K$31</c:f>
              <c:strCache>
                <c:ptCount val="1"/>
                <c:pt idx="0">
                  <c:v>Sortbritannien</c:v>
                </c:pt>
              </c:strCache>
            </c:strRef>
          </c:tx>
          <c:spPr>
            <a:ln w="15875" cap="rnd">
              <a:solidFill>
                <a:schemeClr val="accent3"/>
              </a:solidFill>
              <a:round/>
            </a:ln>
            <a:effectLst/>
          </c:spPr>
          <c:marker>
            <c:symbol val="circle"/>
            <c:size val="5"/>
            <c:spPr>
              <a:solidFill>
                <a:schemeClr val="accent3"/>
              </a:solidFill>
              <a:ln w="9525">
                <a:solidFill>
                  <a:schemeClr val="accent3"/>
                </a:solidFill>
              </a:ln>
              <a:effectLst/>
            </c:spPr>
          </c:marker>
          <c:dLbls>
            <c:dLbl>
              <c:idx val="3"/>
              <c:layout>
                <c:manualLayout>
                  <c:x val="-4.065255731922407E-2"/>
                  <c:y val="-4.37984507373364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BA-4607-ABF0-9D353506AB36}"/>
                </c:ext>
              </c:extLst>
            </c:dLbl>
            <c:dLbl>
              <c:idx val="4"/>
              <c:layout>
                <c:manualLayout>
                  <c:x val="-4.065255731922407E-2"/>
                  <c:y val="4.835046190549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BA-4607-ABF0-9D353506AB36}"/>
                </c:ext>
              </c:extLst>
            </c:dLbl>
            <c:dLbl>
              <c:idx val="5"/>
              <c:layout>
                <c:manualLayout>
                  <c:x val="-4.2857142857142858E-2"/>
                  <c:y val="2.99206793769281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BA-4607-ABF0-9D353506AB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Demography!$H$32:$H$37</c:f>
              <c:strCache>
                <c:ptCount val="6"/>
                <c:pt idx="0">
                  <c:v>0-17</c:v>
                </c:pt>
                <c:pt idx="1">
                  <c:v>18-34</c:v>
                </c:pt>
                <c:pt idx="2">
                  <c:v>35-49</c:v>
                </c:pt>
                <c:pt idx="3">
                  <c:v>50-59</c:v>
                </c:pt>
                <c:pt idx="4">
                  <c:v>60-69</c:v>
                </c:pt>
                <c:pt idx="5">
                  <c:v>70+</c:v>
                </c:pt>
              </c:strCache>
            </c:strRef>
          </c:cat>
          <c:val>
            <c:numRef>
              <c:f>Demography!$K$32:$K$37</c:f>
              <c:numCache>
                <c:formatCode>0.0%</c:formatCode>
                <c:ptCount val="6"/>
                <c:pt idx="0">
                  <c:v>0.21150154828670492</c:v>
                </c:pt>
                <c:pt idx="1">
                  <c:v>0.22579052869178351</c:v>
                </c:pt>
                <c:pt idx="2">
                  <c:v>0.19980095541034429</c:v>
                </c:pt>
                <c:pt idx="3">
                  <c:v>0.13079395719559908</c:v>
                </c:pt>
                <c:pt idx="4">
                  <c:v>0.10929664082190466</c:v>
                </c:pt>
                <c:pt idx="5">
                  <c:v>0.12281636959366356</c:v>
                </c:pt>
              </c:numCache>
            </c:numRef>
          </c:val>
          <c:smooth val="0"/>
          <c:extLst xmlns:c16r2="http://schemas.microsoft.com/office/drawing/2015/06/chart">
            <c:ext xmlns:c16="http://schemas.microsoft.com/office/drawing/2014/chart" uri="{C3380CC4-5D6E-409C-BE32-E72D297353CC}">
              <c16:uniqueId val="{00000000-4FBA-4607-ABF0-9D353506AB36}"/>
            </c:ext>
          </c:extLst>
        </c:ser>
        <c:ser>
          <c:idx val="3"/>
          <c:order val="1"/>
          <c:tx>
            <c:strRef>
              <c:f>Demography!$L$31</c:f>
              <c:strCache>
                <c:ptCount val="1"/>
                <c:pt idx="0">
                  <c:v>Sverige</c:v>
                </c:pt>
              </c:strCache>
            </c:strRef>
          </c:tx>
          <c:spPr>
            <a:ln w="158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dLbl>
              <c:idx val="0"/>
              <c:layout>
                <c:manualLayout>
                  <c:x val="-4.5061728395061729E-2"/>
                  <c:y val="4.09785488940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FBA-4607-ABF0-9D353506AB36}"/>
                </c:ext>
              </c:extLst>
            </c:dLbl>
            <c:dLbl>
              <c:idx val="1"/>
              <c:layout>
                <c:manualLayout>
                  <c:x val="-4.5061728395061729E-2"/>
                  <c:y val="3.360663588264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BA-4607-ABF0-9D353506AB36}"/>
                </c:ext>
              </c:extLst>
            </c:dLbl>
            <c:dLbl>
              <c:idx val="2"/>
              <c:layout>
                <c:manualLayout>
                  <c:x val="-5.1675485008818342E-2"/>
                  <c:y val="3.3606635882641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BA-4607-ABF0-9D353506AB36}"/>
                </c:ext>
              </c:extLst>
            </c:dLbl>
            <c:dLbl>
              <c:idx val="3"/>
              <c:layout>
                <c:manualLayout>
                  <c:x val="-4.2857142857142941E-2"/>
                  <c:y val="4.0978548894067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BA-4607-ABF0-9D353506AB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Demography!$H$32:$H$37</c:f>
              <c:strCache>
                <c:ptCount val="6"/>
                <c:pt idx="0">
                  <c:v>0-17</c:v>
                </c:pt>
                <c:pt idx="1">
                  <c:v>18-34</c:v>
                </c:pt>
                <c:pt idx="2">
                  <c:v>35-49</c:v>
                </c:pt>
                <c:pt idx="3">
                  <c:v>50-59</c:v>
                </c:pt>
                <c:pt idx="4">
                  <c:v>60-69</c:v>
                </c:pt>
                <c:pt idx="5">
                  <c:v>70+</c:v>
                </c:pt>
              </c:strCache>
            </c:strRef>
          </c:cat>
          <c:val>
            <c:numRef>
              <c:f>Demography!$L$32:$L$37</c:f>
              <c:numCache>
                <c:formatCode>0.0%</c:formatCode>
                <c:ptCount val="6"/>
                <c:pt idx="0">
                  <c:v>0.20368061206588295</c:v>
                </c:pt>
                <c:pt idx="1">
                  <c:v>0.22042517404729092</c:v>
                </c:pt>
                <c:pt idx="2">
                  <c:v>0.19530253746079909</c:v>
                </c:pt>
                <c:pt idx="3">
                  <c:v>0.12449298250999297</c:v>
                </c:pt>
                <c:pt idx="4">
                  <c:v>0.11680038396416985</c:v>
                </c:pt>
                <c:pt idx="5">
                  <c:v>0.13929830995186421</c:v>
                </c:pt>
              </c:numCache>
            </c:numRef>
          </c:val>
          <c:smooth val="0"/>
          <c:extLst xmlns:c16r2="http://schemas.microsoft.com/office/drawing/2015/06/chart">
            <c:ext xmlns:c16="http://schemas.microsoft.com/office/drawing/2014/chart" uri="{C3380CC4-5D6E-409C-BE32-E72D297353CC}">
              <c16:uniqueId val="{00000001-4FBA-4607-ABF0-9D353506AB36}"/>
            </c:ext>
          </c:extLst>
        </c:ser>
        <c:dLbls>
          <c:dLblPos val="t"/>
          <c:showLegendKey val="0"/>
          <c:showVal val="1"/>
          <c:showCatName val="0"/>
          <c:showSerName val="0"/>
          <c:showPercent val="0"/>
          <c:showBubbleSize val="0"/>
        </c:dLbls>
        <c:marker val="1"/>
        <c:smooth val="0"/>
        <c:axId val="102916480"/>
        <c:axId val="10291801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Demography!$I$31</c15:sqref>
                        </c15:formulaRef>
                      </c:ext>
                    </c:extLst>
                    <c:strCache>
                      <c:ptCount val="1"/>
                      <c:pt idx="0">
                        <c:v>UNITED KINGDOM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Demography!$H$32:$H$37</c15:sqref>
                        </c15:formulaRef>
                      </c:ext>
                    </c:extLst>
                    <c:strCache>
                      <c:ptCount val="6"/>
                      <c:pt idx="0">
                        <c:v>0-17</c:v>
                      </c:pt>
                      <c:pt idx="1">
                        <c:v>18-34</c:v>
                      </c:pt>
                      <c:pt idx="2">
                        <c:v>35-49</c:v>
                      </c:pt>
                      <c:pt idx="3">
                        <c:v>50-59</c:v>
                      </c:pt>
                      <c:pt idx="4">
                        <c:v>60-69</c:v>
                      </c:pt>
                      <c:pt idx="5">
                        <c:v>70+</c:v>
                      </c:pt>
                    </c:strCache>
                  </c:strRef>
                </c:cat>
                <c:val>
                  <c:numRef>
                    <c:extLst>
                      <c:ext uri="{02D57815-91ED-43cb-92C2-25804820EDAC}">
                        <c15:formulaRef>
                          <c15:sqref>Demography!$I$32:$I$37</c15:sqref>
                        </c15:formulaRef>
                      </c:ext>
                    </c:extLst>
                    <c:numCache>
                      <c:formatCode>#,##0</c:formatCode>
                      <c:ptCount val="6"/>
                      <c:pt idx="0">
                        <c:v>13770873</c:v>
                      </c:pt>
                      <c:pt idx="1">
                        <c:v>14701229</c:v>
                      </c:pt>
                      <c:pt idx="2">
                        <c:v>13009047</c:v>
                      </c:pt>
                      <c:pt idx="3">
                        <c:v>8515999</c:v>
                      </c:pt>
                      <c:pt idx="4">
                        <c:v>7116308</c:v>
                      </c:pt>
                      <c:pt idx="5">
                        <c:v>7996578</c:v>
                      </c:pt>
                    </c:numCache>
                  </c:numRef>
                </c:val>
                <c:smooth val="0"/>
                <c:extLst>
                  <c:ext xmlns:c16="http://schemas.microsoft.com/office/drawing/2014/chart" uri="{C3380CC4-5D6E-409C-BE32-E72D297353CC}">
                    <c16:uniqueId val="{00000002-4FBA-4607-ABF0-9D353506AB3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Demography!$J$31</c15:sqref>
                        </c15:formulaRef>
                      </c:ext>
                    </c:extLst>
                    <c:strCache>
                      <c:ptCount val="1"/>
                      <c:pt idx="0">
                        <c:v>SWEDEN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Demography!$H$32:$H$37</c15:sqref>
                        </c15:formulaRef>
                      </c:ext>
                    </c:extLst>
                    <c:strCache>
                      <c:ptCount val="6"/>
                      <c:pt idx="0">
                        <c:v>0-17</c:v>
                      </c:pt>
                      <c:pt idx="1">
                        <c:v>18-34</c:v>
                      </c:pt>
                      <c:pt idx="2">
                        <c:v>35-49</c:v>
                      </c:pt>
                      <c:pt idx="3">
                        <c:v>50-59</c:v>
                      </c:pt>
                      <c:pt idx="4">
                        <c:v>60-69</c:v>
                      </c:pt>
                      <c:pt idx="5">
                        <c:v>70+</c:v>
                      </c:pt>
                    </c:strCache>
                  </c:strRef>
                </c:cat>
                <c:val>
                  <c:numRef>
                    <c:extLst xmlns:c15="http://schemas.microsoft.com/office/drawing/2012/chart">
                      <c:ext xmlns:c15="http://schemas.microsoft.com/office/drawing/2012/chart" uri="{02D57815-91ED-43cb-92C2-25804820EDAC}">
                        <c15:formulaRef>
                          <c15:sqref>Demography!$J$32:$J$37</c15:sqref>
                        </c15:formulaRef>
                      </c:ext>
                    </c:extLst>
                    <c:numCache>
                      <c:formatCode>#,##0</c:formatCode>
                      <c:ptCount val="6"/>
                      <c:pt idx="0">
                        <c:v>2003895</c:v>
                      </c:pt>
                      <c:pt idx="1">
                        <c:v>2168635</c:v>
                      </c:pt>
                      <c:pt idx="2">
                        <c:v>1921468</c:v>
                      </c:pt>
                      <c:pt idx="3">
                        <c:v>1224814</c:v>
                      </c:pt>
                      <c:pt idx="4">
                        <c:v>1149131</c:v>
                      </c:pt>
                      <c:pt idx="5">
                        <c:v>1370475</c:v>
                      </c:pt>
                    </c:numCache>
                  </c:numRef>
                </c:val>
                <c:smooth val="0"/>
                <c:extLst xmlns:c15="http://schemas.microsoft.com/office/drawing/2012/chart">
                  <c:ext xmlns:c16="http://schemas.microsoft.com/office/drawing/2014/chart" uri="{C3380CC4-5D6E-409C-BE32-E72D297353CC}">
                    <c16:uniqueId val="{00000003-4FBA-4607-ABF0-9D353506AB36}"/>
                  </c:ext>
                </c:extLst>
              </c15:ser>
            </c15:filteredLineSeries>
          </c:ext>
        </c:extLst>
      </c:lineChart>
      <c:catAx>
        <c:axId val="1029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102918016"/>
        <c:crosses val="autoZero"/>
        <c:auto val="1"/>
        <c:lblAlgn val="ctr"/>
        <c:lblOffset val="100"/>
        <c:noMultiLvlLbl val="0"/>
      </c:catAx>
      <c:valAx>
        <c:axId val="10291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102916480"/>
        <c:crosses val="autoZero"/>
        <c:crossBetween val="between"/>
      </c:valAx>
      <c:spPr>
        <a:noFill/>
        <a:ln>
          <a:noFill/>
        </a:ln>
        <a:effectLst/>
      </c:spPr>
    </c:plotArea>
    <c:legend>
      <c:legendPos val="b"/>
      <c:layout>
        <c:manualLayout>
          <c:xMode val="edge"/>
          <c:yMode val="edge"/>
          <c:x val="9.4227182070762375E-2"/>
          <c:y val="0.60803640454034158"/>
          <c:w val="0.33764650946409475"/>
          <c:h val="0.1712919521423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zero"/>
    <c:showDLblsOverMax val="0"/>
  </c:chart>
  <c:spPr>
    <a:solidFill>
      <a:schemeClr val="bg1"/>
    </a:solidFill>
    <a:ln w="9525" cap="flat" cmpd="sng" algn="ctr">
      <a:noFill/>
      <a:round/>
    </a:ln>
    <a:effectLst/>
  </c:spPr>
  <c:txPr>
    <a:bodyPr/>
    <a:lstStyle/>
    <a:p>
      <a:pPr>
        <a:defRPr/>
      </a:pPr>
      <a:endParaRPr lang="sv-S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solidFill>
                <a:latin typeface="+mn-lt"/>
                <a:ea typeface="+mn-ea"/>
                <a:cs typeface="+mn-cs"/>
              </a:defRPr>
            </a:pPr>
            <a:r>
              <a:rPr lang="sv-SE" sz="800">
                <a:solidFill>
                  <a:schemeClr val="tx1"/>
                </a:solidFill>
              </a:rPr>
              <a:t>Behandlingsform per ålderklass</a:t>
            </a:r>
          </a:p>
        </c:rich>
      </c:tx>
      <c:overlay val="0"/>
      <c:spPr>
        <a:noFill/>
        <a:ln>
          <a:noFill/>
        </a:ln>
        <a:effectLst/>
      </c:spPr>
    </c:title>
    <c:autoTitleDeleted val="0"/>
    <c:plotArea>
      <c:layout/>
      <c:lineChart>
        <c:grouping val="standard"/>
        <c:varyColors val="0"/>
        <c:ser>
          <c:idx val="0"/>
          <c:order val="0"/>
          <c:tx>
            <c:strRef>
              <c:f>Sheet4!$C$3</c:f>
              <c:strCache>
                <c:ptCount val="1"/>
                <c:pt idx="0">
                  <c:v>HD </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Sheet4!$B$4:$B$11</c:f>
              <c:strCache>
                <c:ptCount val="8"/>
                <c:pt idx="0">
                  <c:v>15-24</c:v>
                </c:pt>
                <c:pt idx="1">
                  <c:v>25-34</c:v>
                </c:pt>
                <c:pt idx="2">
                  <c:v>35-44</c:v>
                </c:pt>
                <c:pt idx="3">
                  <c:v>45-54</c:v>
                </c:pt>
                <c:pt idx="4">
                  <c:v>55-64</c:v>
                </c:pt>
                <c:pt idx="5">
                  <c:v>65-74</c:v>
                </c:pt>
                <c:pt idx="6">
                  <c:v>75-84</c:v>
                </c:pt>
                <c:pt idx="7">
                  <c:v>85-</c:v>
                </c:pt>
              </c:strCache>
            </c:strRef>
          </c:cat>
          <c:val>
            <c:numRef>
              <c:f>Sheet4!$C$4:$C$11</c:f>
              <c:numCache>
                <c:formatCode>0.0%</c:formatCode>
                <c:ptCount val="8"/>
                <c:pt idx="0">
                  <c:v>0.15887850467289719</c:v>
                </c:pt>
                <c:pt idx="1">
                  <c:v>0.23109243697478993</c:v>
                </c:pt>
                <c:pt idx="2">
                  <c:v>0.18963616317530319</c:v>
                </c:pt>
                <c:pt idx="3">
                  <c:v>0.22160834868017187</c:v>
                </c:pt>
                <c:pt idx="4">
                  <c:v>0.2605566218809981</c:v>
                </c:pt>
                <c:pt idx="5">
                  <c:v>0.34706616729088641</c:v>
                </c:pt>
                <c:pt idx="6">
                  <c:v>0.61926260346124906</c:v>
                </c:pt>
                <c:pt idx="7">
                  <c:v>0.81007751937984496</c:v>
                </c:pt>
              </c:numCache>
            </c:numRef>
          </c:val>
          <c:smooth val="0"/>
          <c:extLst xmlns:c16r2="http://schemas.microsoft.com/office/drawing/2015/06/chart">
            <c:ext xmlns:c16="http://schemas.microsoft.com/office/drawing/2014/chart" uri="{C3380CC4-5D6E-409C-BE32-E72D297353CC}">
              <c16:uniqueId val="{00000000-4681-4C38-8B64-16CBBF0C1DA5}"/>
            </c:ext>
          </c:extLst>
        </c:ser>
        <c:ser>
          <c:idx val="1"/>
          <c:order val="1"/>
          <c:tx>
            <c:strRef>
              <c:f>Sheet4!$D$3</c:f>
              <c:strCache>
                <c:ptCount val="1"/>
                <c:pt idx="0">
                  <c:v>PD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Sheet4!$B$4:$B$11</c:f>
              <c:strCache>
                <c:ptCount val="8"/>
                <c:pt idx="0">
                  <c:v>15-24</c:v>
                </c:pt>
                <c:pt idx="1">
                  <c:v>25-34</c:v>
                </c:pt>
                <c:pt idx="2">
                  <c:v>35-44</c:v>
                </c:pt>
                <c:pt idx="3">
                  <c:v>45-54</c:v>
                </c:pt>
                <c:pt idx="4">
                  <c:v>55-64</c:v>
                </c:pt>
                <c:pt idx="5">
                  <c:v>65-74</c:v>
                </c:pt>
                <c:pt idx="6">
                  <c:v>75-84</c:v>
                </c:pt>
                <c:pt idx="7">
                  <c:v>85-</c:v>
                </c:pt>
              </c:strCache>
            </c:strRef>
          </c:cat>
          <c:val>
            <c:numRef>
              <c:f>Sheet4!$D$4:$D$11</c:f>
              <c:numCache>
                <c:formatCode>0.0%</c:formatCode>
                <c:ptCount val="8"/>
                <c:pt idx="0">
                  <c:v>7.9439252336448593E-2</c:v>
                </c:pt>
                <c:pt idx="1">
                  <c:v>5.2521008403361345E-2</c:v>
                </c:pt>
                <c:pt idx="2">
                  <c:v>6.2844542447629548E-2</c:v>
                </c:pt>
                <c:pt idx="3">
                  <c:v>6.2001227747084102E-2</c:v>
                </c:pt>
                <c:pt idx="4">
                  <c:v>6.5259117082533583E-2</c:v>
                </c:pt>
                <c:pt idx="5">
                  <c:v>9.9042863087806909E-2</c:v>
                </c:pt>
                <c:pt idx="6">
                  <c:v>0.14672686230248308</c:v>
                </c:pt>
                <c:pt idx="7">
                  <c:v>0.15503875968992248</c:v>
                </c:pt>
              </c:numCache>
            </c:numRef>
          </c:val>
          <c:smooth val="0"/>
          <c:extLst xmlns:c16r2="http://schemas.microsoft.com/office/drawing/2015/06/chart">
            <c:ext xmlns:c16="http://schemas.microsoft.com/office/drawing/2014/chart" uri="{C3380CC4-5D6E-409C-BE32-E72D297353CC}">
              <c16:uniqueId val="{00000001-4681-4C38-8B64-16CBBF0C1DA5}"/>
            </c:ext>
          </c:extLst>
        </c:ser>
        <c:ser>
          <c:idx val="2"/>
          <c:order val="2"/>
          <c:tx>
            <c:strRef>
              <c:f>Sheet4!$E$3</c:f>
              <c:strCache>
                <c:ptCount val="1"/>
                <c:pt idx="0">
                  <c:v>Tx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Sheet4!$B$4:$B$11</c:f>
              <c:strCache>
                <c:ptCount val="8"/>
                <c:pt idx="0">
                  <c:v>15-24</c:v>
                </c:pt>
                <c:pt idx="1">
                  <c:v>25-34</c:v>
                </c:pt>
                <c:pt idx="2">
                  <c:v>35-44</c:v>
                </c:pt>
                <c:pt idx="3">
                  <c:v>45-54</c:v>
                </c:pt>
                <c:pt idx="4">
                  <c:v>55-64</c:v>
                </c:pt>
                <c:pt idx="5">
                  <c:v>65-74</c:v>
                </c:pt>
                <c:pt idx="6">
                  <c:v>75-84</c:v>
                </c:pt>
                <c:pt idx="7">
                  <c:v>85-</c:v>
                </c:pt>
              </c:strCache>
            </c:strRef>
          </c:cat>
          <c:val>
            <c:numRef>
              <c:f>Sheet4!$E$4:$E$11</c:f>
              <c:numCache>
                <c:formatCode>0.0%</c:formatCode>
                <c:ptCount val="8"/>
                <c:pt idx="0">
                  <c:v>0.76168224299065423</c:v>
                </c:pt>
                <c:pt idx="1">
                  <c:v>0.71638655462184875</c:v>
                </c:pt>
                <c:pt idx="2">
                  <c:v>0.74751929437706721</c:v>
                </c:pt>
                <c:pt idx="3">
                  <c:v>0.71639042357274396</c:v>
                </c:pt>
                <c:pt idx="4">
                  <c:v>0.67418426103646834</c:v>
                </c:pt>
                <c:pt idx="5">
                  <c:v>0.55389096962130668</c:v>
                </c:pt>
                <c:pt idx="6">
                  <c:v>0.23401053423626786</c:v>
                </c:pt>
                <c:pt idx="7">
                  <c:v>3.4883720930232558E-2</c:v>
                </c:pt>
              </c:numCache>
            </c:numRef>
          </c:val>
          <c:smooth val="0"/>
          <c:extLst xmlns:c16r2="http://schemas.microsoft.com/office/drawing/2015/06/chart">
            <c:ext xmlns:c16="http://schemas.microsoft.com/office/drawing/2014/chart" uri="{C3380CC4-5D6E-409C-BE32-E72D297353CC}">
              <c16:uniqueId val="{00000002-4681-4C38-8B64-16CBBF0C1DA5}"/>
            </c:ext>
          </c:extLst>
        </c:ser>
        <c:dLbls>
          <c:dLblPos val="t"/>
          <c:showLegendKey val="0"/>
          <c:showVal val="1"/>
          <c:showCatName val="0"/>
          <c:showSerName val="0"/>
          <c:showPercent val="0"/>
          <c:showBubbleSize val="0"/>
        </c:dLbls>
        <c:marker val="1"/>
        <c:smooth val="0"/>
        <c:axId val="104618240"/>
        <c:axId val="104640512"/>
      </c:lineChart>
      <c:catAx>
        <c:axId val="1046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104640512"/>
        <c:crosses val="autoZero"/>
        <c:auto val="1"/>
        <c:lblAlgn val="ctr"/>
        <c:lblOffset val="100"/>
        <c:noMultiLvlLbl val="0"/>
      </c:catAx>
      <c:valAx>
        <c:axId val="104640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v-SE"/>
          </a:p>
        </c:txPr>
        <c:crossAx val="10461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sv-SE" sz="800" b="1">
                <a:solidFill>
                  <a:sysClr val="windowText" lastClr="000000"/>
                </a:solidFill>
              </a:rPr>
              <a:t>ICER </a:t>
            </a:r>
          </a:p>
        </c:rich>
      </c:tx>
      <c:layout>
        <c:manualLayout>
          <c:xMode val="edge"/>
          <c:yMode val="edge"/>
          <c:x val="0.4741787484897721"/>
          <c:y val="1.8691588785046728E-2"/>
        </c:manualLayout>
      </c:layout>
      <c:overlay val="0"/>
      <c:spPr>
        <a:noFill/>
        <a:ln>
          <a:noFill/>
        </a:ln>
        <a:effectLst/>
      </c:spPr>
    </c:title>
    <c:autoTitleDeleted val="0"/>
    <c:plotArea>
      <c:layout>
        <c:manualLayout>
          <c:layoutTarget val="inner"/>
          <c:xMode val="edge"/>
          <c:yMode val="edge"/>
          <c:x val="0.10009493880762309"/>
          <c:y val="5.324997515802201E-2"/>
          <c:w val="0.8999050611923769"/>
          <c:h val="0.93093077798422841"/>
        </c:manualLayout>
      </c:layout>
      <c:lineChart>
        <c:grouping val="standard"/>
        <c:varyColors val="0"/>
        <c:ser>
          <c:idx val="0"/>
          <c:order val="0"/>
          <c:tx>
            <c:strRef>
              <c:f>COMPARE!$P$105</c:f>
              <c:strCache>
                <c:ptCount val="1"/>
                <c:pt idx="0">
                  <c:v>Kostnad/QALY (Sämst)</c:v>
                </c:pt>
              </c:strCache>
            </c:strRef>
          </c:tx>
          <c:spPr>
            <a:ln w="9525" cap="rnd">
              <a:solidFill>
                <a:srgbClr val="FF0000"/>
              </a:solidFill>
              <a:round/>
            </a:ln>
            <a:effectLst/>
          </c:spPr>
          <c:marker>
            <c:symbol val="circle"/>
            <c:size val="5"/>
            <c:spPr>
              <a:solidFill>
                <a:srgbClr val="FF0000"/>
              </a:solidFill>
              <a:ln w="3175">
                <a:solidFill>
                  <a:srgbClr val="FF0000"/>
                </a:solidFill>
                <a:bevel/>
              </a:ln>
              <a:effectLst/>
            </c:spPr>
          </c:marker>
          <c:dLbls>
            <c:dLbl>
              <c:idx val="0"/>
              <c:layout>
                <c:manualLayout>
                  <c:x val="4.5185324056715132E-4"/>
                  <c:y val="5.4897343439546688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696-42D0-A591-F23F1124F294}"/>
                </c:ext>
              </c:extLst>
            </c:dLbl>
            <c:dLbl>
              <c:idx val="1"/>
              <c:layout>
                <c:manualLayout>
                  <c:x val="-5.0138410787955806E-2"/>
                  <c:y val="-6.23754314175294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77-46AC-8769-8F8E8A5D7346}"/>
                </c:ext>
              </c:extLst>
            </c:dLbl>
            <c:dLbl>
              <c:idx val="2"/>
              <c:layout>
                <c:manualLayout>
                  <c:x val="-4.8358182873060804E-2"/>
                  <c:y val="-4.09019529744474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96-42D0-A591-F23F1124F294}"/>
                </c:ext>
              </c:extLst>
            </c:dLbl>
            <c:dLbl>
              <c:idx val="3"/>
              <c:layout>
                <c:manualLayout>
                  <c:x val="-9.9708674079654943E-3"/>
                  <c:y val="6.52832629927702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96-42D0-A591-F23F1124F294}"/>
                </c:ext>
              </c:extLst>
            </c:dLbl>
            <c:dLbl>
              <c:idx val="4"/>
              <c:layout>
                <c:manualLayout>
                  <c:x val="1.3155264148006615E-3"/>
                  <c:y val="-5.63554183064316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96-42D0-A591-F23F1124F2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COMPARE!$P$106:$P$110</c:f>
              <c:numCache>
                <c:formatCode>#,##0</c:formatCode>
                <c:ptCount val="5"/>
                <c:pt idx="0">
                  <c:v>-305635.15091863804</c:v>
                </c:pt>
                <c:pt idx="1">
                  <c:v>-1380441.6652899981</c:v>
                </c:pt>
                <c:pt idx="2">
                  <c:v>-1046343.129465881</c:v>
                </c:pt>
                <c:pt idx="3">
                  <c:v>-604519.77697063086</c:v>
                </c:pt>
                <c:pt idx="4">
                  <c:v>225078.59766092445</c:v>
                </c:pt>
              </c:numCache>
            </c:numRef>
          </c:val>
          <c:smooth val="0"/>
          <c:extLst xmlns:c16r2="http://schemas.microsoft.com/office/drawing/2015/06/chart">
            <c:ext xmlns:c16="http://schemas.microsoft.com/office/drawing/2014/chart" uri="{C3380CC4-5D6E-409C-BE32-E72D297353CC}">
              <c16:uniqueId val="{00000003-2696-42D0-A591-F23F1124F294}"/>
            </c:ext>
          </c:extLst>
        </c:ser>
        <c:ser>
          <c:idx val="1"/>
          <c:order val="1"/>
          <c:tx>
            <c:strRef>
              <c:f>COMPARE!$Q$105</c:f>
              <c:strCache>
                <c:ptCount val="1"/>
                <c:pt idx="0">
                  <c:v>Kostnad/QALY (Bas)</c:v>
                </c:pt>
              </c:strCache>
            </c:strRef>
          </c:tx>
          <c:spPr>
            <a:ln w="1270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dLbl>
              <c:idx val="0"/>
              <c:layout>
                <c:manualLayout>
                  <c:x val="-9.6268521990306791E-2"/>
                  <c:y val="-2.7117521524762676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96-42D0-A591-F23F1124F294}"/>
                </c:ext>
              </c:extLst>
            </c:dLbl>
            <c:dLbl>
              <c:idx val="1"/>
              <c:layout>
                <c:manualLayout>
                  <c:x val="-4.7830807234246334E-2"/>
                  <c:y val="-6.23754314175294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77-46AC-8769-8F8E8A5D7346}"/>
                </c:ext>
              </c:extLst>
            </c:dLbl>
            <c:dLbl>
              <c:idx val="2"/>
              <c:layout>
                <c:manualLayout>
                  <c:x val="-5.4468017886653057E-2"/>
                  <c:y val="0.1167366988005004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96-42D0-A591-F23F1124F294}"/>
                </c:ext>
              </c:extLst>
            </c:dLbl>
            <c:dLbl>
              <c:idx val="3"/>
              <c:layout>
                <c:manualLayout>
                  <c:x val="4.6010022097513231E-2"/>
                  <c:y val="-1.9200250457030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96-42D0-A591-F23F1124F294}"/>
                </c:ext>
              </c:extLst>
            </c:dLbl>
            <c:dLbl>
              <c:idx val="4"/>
              <c:layout>
                <c:manualLayout>
                  <c:x val="1.4999743849473217E-2"/>
                  <c:y val="-2.4564872113975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96-42D0-A591-F23F1124F2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COMPARE!$Q$106:$Q$110</c:f>
              <c:numCache>
                <c:formatCode>#,##0</c:formatCode>
                <c:ptCount val="5"/>
                <c:pt idx="0">
                  <c:v>-426467.65244460886</c:v>
                </c:pt>
                <c:pt idx="1">
                  <c:v>-1716598.2554008148</c:v>
                </c:pt>
                <c:pt idx="2">
                  <c:v>-1169801.5162827675</c:v>
                </c:pt>
                <c:pt idx="3">
                  <c:v>-580773.69272530603</c:v>
                </c:pt>
                <c:pt idx="4">
                  <c:v>181561.13994248214</c:v>
                </c:pt>
              </c:numCache>
            </c:numRef>
          </c:val>
          <c:smooth val="0"/>
          <c:extLst xmlns:c16r2="http://schemas.microsoft.com/office/drawing/2015/06/chart">
            <c:ext xmlns:c16="http://schemas.microsoft.com/office/drawing/2014/chart" uri="{C3380CC4-5D6E-409C-BE32-E72D297353CC}">
              <c16:uniqueId val="{00000008-2696-42D0-A591-F23F1124F294}"/>
            </c:ext>
          </c:extLst>
        </c:ser>
        <c:ser>
          <c:idx val="2"/>
          <c:order val="2"/>
          <c:tx>
            <c:strRef>
              <c:f>COMPARE!$R$105</c:f>
              <c:strCache>
                <c:ptCount val="1"/>
                <c:pt idx="0">
                  <c:v>Kostnad/QALY (Bäst)</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7.8913226124512209E-2"/>
                  <c:y val="5.66237397895356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696-42D0-A591-F23F1124F294}"/>
                </c:ext>
              </c:extLst>
            </c:dLbl>
            <c:dLbl>
              <c:idx val="2"/>
              <c:layout>
                <c:manualLayout>
                  <c:x val="5.9850157619186495E-3"/>
                  <c:y val="6.620060342924338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96-42D0-A591-F23F1124F294}"/>
                </c:ext>
              </c:extLst>
            </c:dLbl>
            <c:dLbl>
              <c:idx val="3"/>
              <c:layout>
                <c:manualLayout>
                  <c:x val="-3.7339302277310513E-2"/>
                  <c:y val="-6.9362336567849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696-42D0-A591-F23F1124F294}"/>
                </c:ext>
              </c:extLst>
            </c:dLbl>
            <c:dLbl>
              <c:idx val="4"/>
              <c:layout>
                <c:manualLayout>
                  <c:x val="1.002366478231956E-2"/>
                  <c:y val="9.87488626118559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696-42D0-A591-F23F1124F2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COMPARE!$R$106:$R$110</c:f>
              <c:numCache>
                <c:formatCode>#,##0</c:formatCode>
                <c:ptCount val="5"/>
                <c:pt idx="0">
                  <c:v>-591551.90500380786</c:v>
                </c:pt>
                <c:pt idx="1">
                  <c:v>-2046352.2876027061</c:v>
                </c:pt>
                <c:pt idx="2">
                  <c:v>-1239908.2619554871</c:v>
                </c:pt>
                <c:pt idx="3">
                  <c:v>-511461.1062971502</c:v>
                </c:pt>
                <c:pt idx="4">
                  <c:v>140989.42025548517</c:v>
                </c:pt>
              </c:numCache>
            </c:numRef>
          </c:val>
          <c:smooth val="0"/>
          <c:extLst xmlns:c16r2="http://schemas.microsoft.com/office/drawing/2015/06/chart">
            <c:ext xmlns:c16="http://schemas.microsoft.com/office/drawing/2014/chart" uri="{C3380CC4-5D6E-409C-BE32-E72D297353CC}">
              <c16:uniqueId val="{0000000C-2696-42D0-A591-F23F1124F294}"/>
            </c:ext>
          </c:extLst>
        </c:ser>
        <c:ser>
          <c:idx val="3"/>
          <c:order val="3"/>
          <c:tx>
            <c:strRef>
              <c:f>COMPARE!$S$105</c:f>
              <c:strCache>
                <c:ptCount val="1"/>
              </c:strCache>
            </c:strRef>
          </c:tx>
          <c:spPr>
            <a:ln w="12700" cap="rnd">
              <a:solidFill>
                <a:sysClr val="windowText" lastClr="000000"/>
              </a:solidFill>
              <a:prstDash val="dash"/>
              <a:round/>
            </a:ln>
            <a:effectLst/>
          </c:spPr>
          <c:marker>
            <c:symbol val="circle"/>
            <c:size val="5"/>
            <c:spPr>
              <a:solidFill>
                <a:sysClr val="windowText" lastClr="000000"/>
              </a:solidFill>
              <a:ln w="9525">
                <a:solidFill>
                  <a:sysClr val="windowText" lastClr="000000"/>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77-46AC-8769-8F8E8A5D734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A77-46AC-8769-8F8E8A5D734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77-46AC-8769-8F8E8A5D734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77-46AC-8769-8F8E8A5D73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COMPARE!$S$106:$S$110</c:f>
              <c:numCache>
                <c:formatCode>#,##0</c:formatCode>
                <c:ptCount val="5"/>
                <c:pt idx="0">
                  <c:v>100000</c:v>
                </c:pt>
                <c:pt idx="1">
                  <c:v>100000</c:v>
                </c:pt>
                <c:pt idx="2">
                  <c:v>100000</c:v>
                </c:pt>
                <c:pt idx="3">
                  <c:v>100000</c:v>
                </c:pt>
                <c:pt idx="4">
                  <c:v>100000</c:v>
                </c:pt>
              </c:numCache>
            </c:numRef>
          </c:val>
          <c:smooth val="0"/>
          <c:extLst xmlns:c16r2="http://schemas.microsoft.com/office/drawing/2015/06/chart">
            <c:ext xmlns:c16="http://schemas.microsoft.com/office/drawing/2014/chart" uri="{C3380CC4-5D6E-409C-BE32-E72D297353CC}">
              <c16:uniqueId val="{0000000D-2696-42D0-A591-F23F1124F294}"/>
            </c:ext>
          </c:extLst>
        </c:ser>
        <c:ser>
          <c:idx val="4"/>
          <c:order val="4"/>
          <c:tx>
            <c:strRef>
              <c:f>COMPARE!$T$105</c:f>
              <c:strCache>
                <c:ptCount val="1"/>
              </c:strCache>
            </c:strRef>
          </c:tx>
          <c:spPr>
            <a:ln w="12700" cap="rnd">
              <a:solidFill>
                <a:sysClr val="windowText" lastClr="000000"/>
              </a:solidFill>
              <a:prstDash val="dash"/>
              <a:round/>
            </a:ln>
            <a:effectLst/>
          </c:spPr>
          <c:marker>
            <c:symbol val="circle"/>
            <c:size val="5"/>
            <c:spPr>
              <a:solidFill>
                <a:sysClr val="windowText" lastClr="000000"/>
              </a:solidFill>
              <a:ln w="9525">
                <a:solidFill>
                  <a:sysClr val="windowText" lastClr="000000"/>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A77-46AC-8769-8F8E8A5D734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77-46AC-8769-8F8E8A5D734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A77-46AC-8769-8F8E8A5D734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77-46AC-8769-8F8E8A5D73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COMPARE!$T$106:$T$110</c:f>
              <c:numCache>
                <c:formatCode>#,##0</c:formatCode>
                <c:ptCount val="5"/>
                <c:pt idx="0">
                  <c:v>500000</c:v>
                </c:pt>
                <c:pt idx="1">
                  <c:v>500000</c:v>
                </c:pt>
                <c:pt idx="2">
                  <c:v>500000</c:v>
                </c:pt>
                <c:pt idx="3">
                  <c:v>500000</c:v>
                </c:pt>
                <c:pt idx="4">
                  <c:v>500000</c:v>
                </c:pt>
              </c:numCache>
            </c:numRef>
          </c:val>
          <c:smooth val="0"/>
          <c:extLst xmlns:c16r2="http://schemas.microsoft.com/office/drawing/2015/06/chart">
            <c:ext xmlns:c16="http://schemas.microsoft.com/office/drawing/2014/chart" uri="{C3380CC4-5D6E-409C-BE32-E72D297353CC}">
              <c16:uniqueId val="{0000000E-2696-42D0-A591-F23F1124F294}"/>
            </c:ext>
          </c:extLst>
        </c:ser>
        <c:ser>
          <c:idx val="5"/>
          <c:order val="5"/>
          <c:tx>
            <c:strRef>
              <c:f>COMPARE!$U$105</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COMPARE!$U$106:$U$110</c:f>
              <c:numCache>
                <c:formatCode>#,##0</c:formatCode>
                <c:ptCount val="5"/>
                <c:pt idx="0">
                  <c:v>1000000</c:v>
                </c:pt>
                <c:pt idx="1">
                  <c:v>1000000</c:v>
                </c:pt>
                <c:pt idx="2">
                  <c:v>1000000</c:v>
                </c:pt>
                <c:pt idx="3">
                  <c:v>1000000</c:v>
                </c:pt>
                <c:pt idx="4">
                  <c:v>1000000</c:v>
                </c:pt>
              </c:numCache>
            </c:numRef>
          </c:val>
          <c:smooth val="0"/>
          <c:extLst xmlns:c16r2="http://schemas.microsoft.com/office/drawing/2015/06/chart">
            <c:ext xmlns:c16="http://schemas.microsoft.com/office/drawing/2014/chart" uri="{C3380CC4-5D6E-409C-BE32-E72D297353CC}">
              <c16:uniqueId val="{0000000F-2696-42D0-A591-F23F1124F294}"/>
            </c:ext>
          </c:extLst>
        </c:ser>
        <c:dLbls>
          <c:dLblPos val="t"/>
          <c:showLegendKey val="0"/>
          <c:showVal val="1"/>
          <c:showCatName val="0"/>
          <c:showSerName val="0"/>
          <c:showPercent val="0"/>
          <c:showBubbleSize val="0"/>
        </c:dLbls>
        <c:marker val="1"/>
        <c:smooth val="0"/>
        <c:axId val="105609088"/>
        <c:axId val="105610624"/>
      </c:lineChart>
      <c:catAx>
        <c:axId val="1056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5610624"/>
        <c:crosses val="autoZero"/>
        <c:auto val="1"/>
        <c:lblAlgn val="ctr"/>
        <c:lblOffset val="100"/>
        <c:noMultiLvlLbl val="0"/>
      </c:catAx>
      <c:valAx>
        <c:axId val="105610624"/>
        <c:scaling>
          <c:orientation val="minMax"/>
          <c:max val="900000"/>
          <c:min val="-2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v-SE"/>
          </a:p>
        </c:txPr>
        <c:crossAx val="105609088"/>
        <c:crosses val="autoZero"/>
        <c:crossBetween val="between"/>
      </c:valAx>
      <c:spPr>
        <a:noFill/>
        <a:ln>
          <a:noFill/>
        </a:ln>
        <a:effectLst/>
      </c:spPr>
    </c:plotArea>
    <c:legend>
      <c:legendPos val="b"/>
      <c:layout>
        <c:manualLayout>
          <c:xMode val="edge"/>
          <c:yMode val="edge"/>
          <c:x val="0.56344623588718079"/>
          <c:y val="0.75847438361543384"/>
          <c:w val="0.41230332319571167"/>
          <c:h val="0.128066978271026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v-SE" sz="800" b="1"/>
              <a:t>ICER </a:t>
            </a:r>
          </a:p>
        </c:rich>
      </c:tx>
      <c:layout>
        <c:manualLayout>
          <c:xMode val="edge"/>
          <c:yMode val="edge"/>
          <c:x val="0.48150890860864615"/>
          <c:y val="2.3288309268747091E-2"/>
        </c:manualLayout>
      </c:layout>
      <c:overlay val="0"/>
      <c:spPr>
        <a:noFill/>
        <a:ln>
          <a:noFill/>
        </a:ln>
        <a:effectLst/>
      </c:spPr>
    </c:title>
    <c:autoTitleDeleted val="0"/>
    <c:plotArea>
      <c:layout>
        <c:manualLayout>
          <c:layoutTarget val="inner"/>
          <c:xMode val="edge"/>
          <c:yMode val="edge"/>
          <c:x val="6.0452210001115697E-2"/>
          <c:y val="5.324997515802201E-2"/>
          <c:w val="0.93954778999888433"/>
          <c:h val="0.926273247050453"/>
        </c:manualLayout>
      </c:layout>
      <c:lineChart>
        <c:grouping val="standard"/>
        <c:varyColors val="0"/>
        <c:ser>
          <c:idx val="0"/>
          <c:order val="0"/>
          <c:tx>
            <c:strRef>
              <c:f>COMPARE!$P$105</c:f>
              <c:strCache>
                <c:ptCount val="1"/>
                <c:pt idx="0">
                  <c:v>Kostnad/QALY(Sämst)</c:v>
                </c:pt>
              </c:strCache>
            </c:strRef>
          </c:tx>
          <c:spPr>
            <a:ln w="12700"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Lbl>
              <c:idx val="0"/>
              <c:layout>
                <c:manualLayout>
                  <c:x val="-8.7235449735449749E-2"/>
                  <c:y val="3.7808478411553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DDF-43FA-B7C6-AF5A004965CB}"/>
                </c:ext>
              </c:extLst>
            </c:dLbl>
            <c:dLbl>
              <c:idx val="2"/>
              <c:layout>
                <c:manualLayout>
                  <c:x val="-4.8358182873060804E-2"/>
                  <c:y val="-4.09019529744474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DF-43FA-B7C6-AF5A004965CB}"/>
                </c:ext>
              </c:extLst>
            </c:dLbl>
            <c:dLbl>
              <c:idx val="3"/>
              <c:layout>
                <c:manualLayout>
                  <c:x val="-9.9708674079654943E-3"/>
                  <c:y val="6.52832629927702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DF-43FA-B7C6-AF5A004965CB}"/>
                </c:ext>
              </c:extLst>
            </c:dLbl>
            <c:dLbl>
              <c:idx val="4"/>
              <c:layout>
                <c:manualLayout>
                  <c:x val="1.3155264148006615E-3"/>
                  <c:y val="-5.63554183064316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DF-43FA-B7C6-AF5A004965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COMPARE!$P$106:$P$110</c:f>
              <c:numCache>
                <c:formatCode>#,##0</c:formatCode>
                <c:ptCount val="5"/>
                <c:pt idx="0">
                  <c:v>340564.84908136603</c:v>
                </c:pt>
                <c:pt idx="1">
                  <c:v>-929992.88753037155</c:v>
                </c:pt>
                <c:pt idx="2">
                  <c:v>-659137.89662924374</c:v>
                </c:pt>
                <c:pt idx="3">
                  <c:v>-280092.69810068456</c:v>
                </c:pt>
                <c:pt idx="4">
                  <c:v>310205.37871310406</c:v>
                </c:pt>
              </c:numCache>
            </c:numRef>
          </c:val>
          <c:smooth val="0"/>
          <c:extLst xmlns:c16r2="http://schemas.microsoft.com/office/drawing/2015/06/chart">
            <c:ext xmlns:c16="http://schemas.microsoft.com/office/drawing/2014/chart" uri="{C3380CC4-5D6E-409C-BE32-E72D297353CC}">
              <c16:uniqueId val="{00000003-2DDF-43FA-B7C6-AF5A004965CB}"/>
            </c:ext>
          </c:extLst>
        </c:ser>
        <c:ser>
          <c:idx val="1"/>
          <c:order val="1"/>
          <c:tx>
            <c:strRef>
              <c:f>COMPARE!$Q$105</c:f>
              <c:strCache>
                <c:ptCount val="1"/>
                <c:pt idx="0">
                  <c:v>Kostnad/QALY (Bas)</c:v>
                </c:pt>
              </c:strCache>
            </c:strRef>
          </c:tx>
          <c:spPr>
            <a:ln w="1270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9.8473107528225634E-2"/>
                  <c:y val="1.35948714375304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DF-43FA-B7C6-AF5A004965CB}"/>
                </c:ext>
              </c:extLst>
            </c:dLbl>
            <c:dLbl>
              <c:idx val="1"/>
              <c:layout>
                <c:manualLayout>
                  <c:x val="-5.010484800511051E-2"/>
                  <c:y val="-4.1371773102186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DDF-43FA-B7C6-AF5A004965CB}"/>
                </c:ext>
              </c:extLst>
            </c:dLbl>
            <c:dLbl>
              <c:idx val="2"/>
              <c:layout>
                <c:manualLayout>
                  <c:x val="3.5919989168020666E-2"/>
                  <c:y val="9.260311953320693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DF-43FA-B7C6-AF5A004965CB}"/>
                </c:ext>
              </c:extLst>
            </c:dLbl>
            <c:dLbl>
              <c:idx val="3"/>
              <c:layout>
                <c:manualLayout>
                  <c:x val="4.6010022097513231E-2"/>
                  <c:y val="-1.9200250457030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DF-43FA-B7C6-AF5A004965CB}"/>
                </c:ext>
              </c:extLst>
            </c:dLbl>
            <c:dLbl>
              <c:idx val="4"/>
              <c:layout>
                <c:manualLayout>
                  <c:x val="1.4999743849473217E-2"/>
                  <c:y val="-2.4564872113975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DF-43FA-B7C6-AF5A004965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COMPARE!$Q$106:$Q$110</c:f>
              <c:numCache>
                <c:formatCode>#,##0</c:formatCode>
                <c:ptCount val="5"/>
                <c:pt idx="0">
                  <c:v>475206.76616004296</c:v>
                </c:pt>
                <c:pt idx="1">
                  <c:v>-1156458.985852496</c:v>
                </c:pt>
                <c:pt idx="2">
                  <c:v>-736909.80444428488</c:v>
                </c:pt>
                <c:pt idx="3">
                  <c:v>-269090.40328920766</c:v>
                </c:pt>
                <c:pt idx="4">
                  <c:v>250229.22108430392</c:v>
                </c:pt>
              </c:numCache>
            </c:numRef>
          </c:val>
          <c:smooth val="0"/>
          <c:extLst xmlns:c16r2="http://schemas.microsoft.com/office/drawing/2015/06/chart">
            <c:ext xmlns:c16="http://schemas.microsoft.com/office/drawing/2014/chart" uri="{C3380CC4-5D6E-409C-BE32-E72D297353CC}">
              <c16:uniqueId val="{00000008-2DDF-43FA-B7C6-AF5A004965CB}"/>
            </c:ext>
          </c:extLst>
        </c:ser>
        <c:ser>
          <c:idx val="2"/>
          <c:order val="2"/>
          <c:tx>
            <c:strRef>
              <c:f>COMPARE!$R$105</c:f>
              <c:strCache>
                <c:ptCount val="1"/>
                <c:pt idx="0">
                  <c:v>Kostnad/QALY (Bäst)</c:v>
                </c:pt>
              </c:strCache>
            </c:strRef>
          </c:tx>
          <c:spPr>
            <a:ln w="9525" cap="rnd">
              <a:solidFill>
                <a:schemeClr val="tx1"/>
              </a:solidFill>
              <a:round/>
            </a:ln>
            <a:effectLst/>
          </c:spPr>
          <c:marker>
            <c:symbol val="circle"/>
            <c:size val="5"/>
            <c:spPr>
              <a:solidFill>
                <a:schemeClr val="tx1"/>
              </a:solidFill>
              <a:ln w="9525">
                <a:solidFill>
                  <a:schemeClr val="tx1"/>
                </a:solidFill>
              </a:ln>
              <a:effectLst/>
            </c:spPr>
          </c:marker>
          <c:dLbls>
            <c:dLbl>
              <c:idx val="1"/>
              <c:layout>
                <c:manualLayout>
                  <c:x val="-6.1127775694704831E-2"/>
                  <c:y val="5.1781463972802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DDF-43FA-B7C6-AF5A004965CB}"/>
                </c:ext>
              </c:extLst>
            </c:dLbl>
            <c:dLbl>
              <c:idx val="2"/>
              <c:layout>
                <c:manualLayout>
                  <c:x val="-1.6060839617270062E-2"/>
                  <c:y val="5.31967330352918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DDF-43FA-B7C6-AF5A004965CB}"/>
                </c:ext>
              </c:extLst>
            </c:dLbl>
            <c:dLbl>
              <c:idx val="3"/>
              <c:layout>
                <c:manualLayout>
                  <c:x val="-3.7339302277310513E-2"/>
                  <c:y val="-6.9362336567849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DDF-43FA-B7C6-AF5A004965CB}"/>
                </c:ext>
              </c:extLst>
            </c:dLbl>
            <c:dLbl>
              <c:idx val="4"/>
              <c:layout>
                <c:manualLayout>
                  <c:x val="1.002366478231956E-2"/>
                  <c:y val="9.87488626118559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DDF-43FA-B7C6-AF5A004965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COMPARE!$R$106:$R$110</c:f>
              <c:numCache>
                <c:formatCode>#,##0</c:formatCode>
                <c:ptCount val="5"/>
                <c:pt idx="0">
                  <c:v>659157.77241553843</c:v>
                </c:pt>
                <c:pt idx="1">
                  <c:v>-1378611.7303640118</c:v>
                </c:pt>
                <c:pt idx="2">
                  <c:v>-781073.14969970414</c:v>
                </c:pt>
                <c:pt idx="3">
                  <c:v>-236975.73957665512</c:v>
                </c:pt>
                <c:pt idx="4">
                  <c:v>194312.9065109092</c:v>
                </c:pt>
              </c:numCache>
            </c:numRef>
          </c:val>
          <c:smooth val="0"/>
          <c:extLst xmlns:c16r2="http://schemas.microsoft.com/office/drawing/2015/06/chart">
            <c:ext xmlns:c16="http://schemas.microsoft.com/office/drawing/2014/chart" uri="{C3380CC4-5D6E-409C-BE32-E72D297353CC}">
              <c16:uniqueId val="{0000000C-2DDF-43FA-B7C6-AF5A004965CB}"/>
            </c:ext>
          </c:extLst>
        </c:ser>
        <c:ser>
          <c:idx val="3"/>
          <c:order val="3"/>
          <c:tx>
            <c:strRef>
              <c:f>COMPARE!$S$105</c:f>
              <c:strCache>
                <c:ptCount val="1"/>
              </c:strCache>
            </c:strRef>
          </c:tx>
          <c:spPr>
            <a:ln w="12700" cap="rnd">
              <a:solidFill>
                <a:schemeClr val="tx1"/>
              </a:solidFill>
              <a:prstDash val="dash"/>
              <a:round/>
            </a:ln>
            <a:effectLst/>
          </c:spPr>
          <c:marker>
            <c:symbol val="circle"/>
            <c:size val="5"/>
            <c:spPr>
              <a:solidFill>
                <a:schemeClr val="tx1"/>
              </a:solidFill>
              <a:ln w="9525">
                <a:solidFill>
                  <a:schemeClr val="tx1"/>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DDF-43FA-B7C6-AF5A004965C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DDF-43FA-B7C6-AF5A004965C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DDF-43FA-B7C6-AF5A004965C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DDF-43FA-B7C6-AF5A004965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COMPARE!$S$106:$S$110</c:f>
              <c:numCache>
                <c:formatCode>#,##0</c:formatCode>
                <c:ptCount val="5"/>
                <c:pt idx="0">
                  <c:v>100000</c:v>
                </c:pt>
                <c:pt idx="1">
                  <c:v>100000</c:v>
                </c:pt>
                <c:pt idx="2">
                  <c:v>100000</c:v>
                </c:pt>
                <c:pt idx="3">
                  <c:v>100000</c:v>
                </c:pt>
                <c:pt idx="4">
                  <c:v>100000</c:v>
                </c:pt>
              </c:numCache>
            </c:numRef>
          </c:val>
          <c:smooth val="0"/>
          <c:extLst xmlns:c16r2="http://schemas.microsoft.com/office/drawing/2015/06/chart">
            <c:ext xmlns:c16="http://schemas.microsoft.com/office/drawing/2014/chart" uri="{C3380CC4-5D6E-409C-BE32-E72D297353CC}">
              <c16:uniqueId val="{0000000D-2DDF-43FA-B7C6-AF5A004965CB}"/>
            </c:ext>
          </c:extLst>
        </c:ser>
        <c:ser>
          <c:idx val="4"/>
          <c:order val="4"/>
          <c:tx>
            <c:strRef>
              <c:f>COMPARE!$T$105</c:f>
              <c:strCache>
                <c:ptCount val="1"/>
              </c:strCache>
            </c:strRef>
          </c:tx>
          <c:spPr>
            <a:ln w="12700" cap="rnd">
              <a:solidFill>
                <a:schemeClr val="tx1"/>
              </a:solidFill>
              <a:prstDash val="dash"/>
              <a:round/>
            </a:ln>
            <a:effectLst/>
          </c:spPr>
          <c:marker>
            <c:symbol val="circle"/>
            <c:size val="5"/>
            <c:spPr>
              <a:solidFill>
                <a:schemeClr val="tx1"/>
              </a:solidFill>
              <a:ln w="9525">
                <a:solidFill>
                  <a:schemeClr val="tx1"/>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DDF-43FA-B7C6-AF5A004965C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DDF-43FA-B7C6-AF5A004965C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DDF-43FA-B7C6-AF5A004965C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DDF-43FA-B7C6-AF5A004965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COMPARE!$T$106:$T$110</c:f>
              <c:numCache>
                <c:formatCode>#,##0</c:formatCode>
                <c:ptCount val="5"/>
                <c:pt idx="0">
                  <c:v>500000</c:v>
                </c:pt>
                <c:pt idx="1">
                  <c:v>500000</c:v>
                </c:pt>
                <c:pt idx="2">
                  <c:v>500000</c:v>
                </c:pt>
                <c:pt idx="3">
                  <c:v>500000</c:v>
                </c:pt>
                <c:pt idx="4">
                  <c:v>500000</c:v>
                </c:pt>
              </c:numCache>
            </c:numRef>
          </c:val>
          <c:smooth val="0"/>
          <c:extLst xmlns:c16r2="http://schemas.microsoft.com/office/drawing/2015/06/chart">
            <c:ext xmlns:c16="http://schemas.microsoft.com/office/drawing/2014/chart" uri="{C3380CC4-5D6E-409C-BE32-E72D297353CC}">
              <c16:uniqueId val="{0000000E-2DDF-43FA-B7C6-AF5A004965CB}"/>
            </c:ext>
          </c:extLst>
        </c:ser>
        <c:ser>
          <c:idx val="5"/>
          <c:order val="5"/>
          <c:tx>
            <c:strRef>
              <c:f>COMPARE!$U$105</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COMPARE!$O$106:$O$110</c:f>
              <c:strCache>
                <c:ptCount val="5"/>
                <c:pt idx="0">
                  <c:v>ICER yr 0</c:v>
                </c:pt>
                <c:pt idx="1">
                  <c:v>ICER yr 1</c:v>
                </c:pt>
                <c:pt idx="2">
                  <c:v>ICER yr 2</c:v>
                </c:pt>
                <c:pt idx="3">
                  <c:v>ICER yr 5</c:v>
                </c:pt>
                <c:pt idx="4">
                  <c:v>ICER yr 10</c:v>
                </c:pt>
              </c:strCache>
            </c:strRef>
          </c:cat>
          <c:val>
            <c:numRef>
              <c:f>COMPARE!$U$106:$U$110</c:f>
              <c:numCache>
                <c:formatCode>#,##0</c:formatCode>
                <c:ptCount val="5"/>
                <c:pt idx="0">
                  <c:v>1000000</c:v>
                </c:pt>
                <c:pt idx="1">
                  <c:v>1000000</c:v>
                </c:pt>
                <c:pt idx="2">
                  <c:v>1000000</c:v>
                </c:pt>
                <c:pt idx="3">
                  <c:v>1000000</c:v>
                </c:pt>
                <c:pt idx="4">
                  <c:v>1000000</c:v>
                </c:pt>
              </c:numCache>
            </c:numRef>
          </c:val>
          <c:smooth val="0"/>
          <c:extLst xmlns:c16r2="http://schemas.microsoft.com/office/drawing/2015/06/chart">
            <c:ext xmlns:c16="http://schemas.microsoft.com/office/drawing/2014/chart" uri="{C3380CC4-5D6E-409C-BE32-E72D297353CC}">
              <c16:uniqueId val="{0000000F-2DDF-43FA-B7C6-AF5A004965CB}"/>
            </c:ext>
          </c:extLst>
        </c:ser>
        <c:dLbls>
          <c:dLblPos val="t"/>
          <c:showLegendKey val="0"/>
          <c:showVal val="1"/>
          <c:showCatName val="0"/>
          <c:showSerName val="0"/>
          <c:showPercent val="0"/>
          <c:showBubbleSize val="0"/>
        </c:dLbls>
        <c:marker val="1"/>
        <c:smooth val="0"/>
        <c:axId val="108156416"/>
        <c:axId val="108157952"/>
      </c:lineChart>
      <c:catAx>
        <c:axId val="1081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108157952"/>
        <c:crosses val="autoZero"/>
        <c:auto val="1"/>
        <c:lblAlgn val="ctr"/>
        <c:lblOffset val="100"/>
        <c:noMultiLvlLbl val="0"/>
      </c:catAx>
      <c:valAx>
        <c:axId val="108157952"/>
        <c:scaling>
          <c:orientation val="minMax"/>
          <c:max val="900000"/>
          <c:min val="-17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v-SE"/>
          </a:p>
        </c:txPr>
        <c:crossAx val="108156416"/>
        <c:crosses val="autoZero"/>
        <c:crossBetween val="between"/>
      </c:valAx>
      <c:spPr>
        <a:solidFill>
          <a:schemeClr val="bg1"/>
        </a:solidFill>
        <a:ln>
          <a:noFill/>
        </a:ln>
        <a:effectLst/>
      </c:spPr>
    </c:plotArea>
    <c:legend>
      <c:legendPos val="b"/>
      <c:layout>
        <c:manualLayout>
          <c:xMode val="edge"/>
          <c:yMode val="edge"/>
          <c:x val="0.61818106070074574"/>
          <c:y val="0.66131793493209712"/>
          <c:w val="0.38181889421325049"/>
          <c:h val="0.17030905603497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F2CC5-ADCE-4364-857C-9710343E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6505</Words>
  <Characters>34478</Characters>
  <Application>Microsoft Office Word</Application>
  <DocSecurity>4</DocSecurity>
  <Lines>287</Lines>
  <Paragraphs>81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Örebro läns landsting</Company>
  <LinksUpToDate>false</LinksUpToDate>
  <CharactersWithSpaces>40902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de Gosson de Varennes</dc:creator>
  <cp:lastModifiedBy>Wikman Annica, Labmed USÖ</cp:lastModifiedBy>
  <cp:revision>2</cp:revision>
  <dcterms:created xsi:type="dcterms:W3CDTF">2017-05-15T05:36:00Z</dcterms:created>
  <dcterms:modified xsi:type="dcterms:W3CDTF">2017-05-15T05:36:00Z</dcterms:modified>
</cp:coreProperties>
</file>